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F734B" w:rsidRDefault="00181331">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#99</w:t>
      </w:r>
      <w:r>
        <w:rPr>
          <w:rFonts w:ascii="Arial" w:hAnsi="Arial" w:cs="Arial"/>
          <w:b/>
          <w:bCs/>
          <w:sz w:val="22"/>
          <w:szCs w:val="22"/>
        </w:rPr>
        <w:tab/>
      </w:r>
      <w:r>
        <w:rPr>
          <w:rFonts w:ascii="Arial" w:hAnsi="Arial" w:cs="Arial"/>
          <w:b/>
          <w:bCs/>
          <w:sz w:val="22"/>
          <w:szCs w:val="22"/>
        </w:rPr>
        <w:tab/>
        <w:t>R1-19</w:t>
      </w:r>
      <w:r>
        <w:rPr>
          <w:rFonts w:ascii="Arial" w:hAnsi="Arial" w:cs="Arial" w:hint="eastAsia"/>
          <w:b/>
          <w:bCs/>
          <w:sz w:val="22"/>
          <w:szCs w:val="22"/>
        </w:rPr>
        <w:t>12516</w:t>
      </w:r>
    </w:p>
    <w:p w:rsidR="000F734B" w:rsidRDefault="0006398D">
      <w:pPr>
        <w:tabs>
          <w:tab w:val="center" w:pos="4536"/>
          <w:tab w:val="right" w:pos="9639"/>
        </w:tabs>
        <w:spacing w:before="120" w:after="120" w:line="240" w:lineRule="auto"/>
        <w:ind w:right="2"/>
        <w:rPr>
          <w:rFonts w:ascii="Arial" w:hAnsi="Arial" w:cs="Arial"/>
          <w:b/>
          <w:bCs/>
          <w:sz w:val="22"/>
          <w:szCs w:val="22"/>
        </w:rPr>
      </w:pPr>
      <w:r>
        <w:rPr>
          <w:rFonts w:ascii="Arial" w:hAnsi="Arial" w:cs="Arial" w:hint="eastAsia"/>
          <w:b/>
          <w:bCs/>
          <w:sz w:val="22"/>
          <w:szCs w:val="22"/>
        </w:rPr>
        <w:t>Re</w:t>
      </w:r>
      <w:r w:rsidR="00181331">
        <w:rPr>
          <w:rFonts w:ascii="Arial" w:hAnsi="Arial" w:cs="Arial" w:hint="eastAsia"/>
          <w:b/>
          <w:bCs/>
          <w:sz w:val="22"/>
          <w:szCs w:val="22"/>
        </w:rPr>
        <w:t>no, USA, November 18</w:t>
      </w:r>
      <w:r w:rsidR="00181331">
        <w:rPr>
          <w:rFonts w:ascii="Arial" w:hAnsi="Arial" w:cs="Arial" w:hint="eastAsia"/>
          <w:b/>
          <w:bCs/>
          <w:sz w:val="22"/>
          <w:szCs w:val="22"/>
          <w:vertAlign w:val="superscript"/>
        </w:rPr>
        <w:t>th</w:t>
      </w:r>
      <w:r w:rsidR="00181331">
        <w:rPr>
          <w:rFonts w:ascii="Arial" w:hAnsi="Arial" w:cs="Arial"/>
          <w:b/>
          <w:bCs/>
          <w:sz w:val="22"/>
          <w:szCs w:val="22"/>
        </w:rPr>
        <w:t xml:space="preserve"> - </w:t>
      </w:r>
      <w:r w:rsidR="00181331">
        <w:rPr>
          <w:rFonts w:ascii="Arial" w:hAnsi="Arial" w:cs="Arial" w:hint="eastAsia"/>
          <w:b/>
          <w:bCs/>
          <w:sz w:val="22"/>
          <w:szCs w:val="22"/>
        </w:rPr>
        <w:t>22</w:t>
      </w:r>
      <w:r w:rsidR="00181331">
        <w:rPr>
          <w:rFonts w:ascii="Arial" w:hAnsi="Arial" w:cs="Arial" w:hint="eastAsia"/>
          <w:b/>
          <w:bCs/>
          <w:sz w:val="22"/>
          <w:szCs w:val="22"/>
          <w:vertAlign w:val="superscript"/>
        </w:rPr>
        <w:t>nd</w:t>
      </w:r>
      <w:r w:rsidR="00181331">
        <w:rPr>
          <w:rFonts w:ascii="Arial" w:hAnsi="Arial" w:cs="Arial" w:hint="eastAsia"/>
          <w:b/>
          <w:bCs/>
          <w:sz w:val="22"/>
          <w:szCs w:val="22"/>
        </w:rPr>
        <w:t>, 2019</w:t>
      </w:r>
    </w:p>
    <w:p w:rsidR="000F734B" w:rsidRDefault="00181331">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PHY procedures for sidelink</w:t>
      </w:r>
    </w:p>
    <w:p w:rsidR="000F734B" w:rsidRDefault="00181331">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0F734B" w:rsidRDefault="00181331">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7.2.4.5</w:t>
      </w:r>
    </w:p>
    <w:p w:rsidR="000F734B" w:rsidRDefault="00181331">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0F734B" w:rsidRDefault="00181331">
      <w:pPr>
        <w:pStyle w:val="Heading1"/>
        <w:spacing w:before="120" w:after="120"/>
        <w:ind w:left="0"/>
        <w:rPr>
          <w:rFonts w:eastAsia="SimSun"/>
        </w:rPr>
      </w:pPr>
      <w:r>
        <w:rPr>
          <w:rFonts w:eastAsia="SimSun" w:hint="eastAsia"/>
        </w:rPr>
        <w:t>Introduction</w:t>
      </w:r>
    </w:p>
    <w:p w:rsidR="000F734B" w:rsidRDefault="00181331">
      <w:pPr>
        <w:spacing w:before="120" w:after="120" w:line="240" w:lineRule="auto"/>
        <w:rPr>
          <w:sz w:val="20"/>
        </w:rPr>
      </w:pPr>
      <w:r>
        <w:rPr>
          <w:rFonts w:hint="eastAsia"/>
          <w:sz w:val="20"/>
        </w:rPr>
        <w:t xml:space="preserve"> T</w:t>
      </w:r>
      <w:r>
        <w:rPr>
          <w:sz w:val="20"/>
        </w:rPr>
        <w:t xml:space="preserve">he following agreements </w:t>
      </w:r>
      <w:r>
        <w:rPr>
          <w:rFonts w:hint="eastAsia"/>
          <w:sz w:val="20"/>
        </w:rPr>
        <w:t xml:space="preserve">were made </w:t>
      </w:r>
      <w:r>
        <w:rPr>
          <w:sz w:val="20"/>
        </w:rPr>
        <w:t xml:space="preserve">on </w:t>
      </w:r>
      <w:r>
        <w:rPr>
          <w:rFonts w:hint="eastAsia"/>
          <w:sz w:val="20"/>
        </w:rPr>
        <w:t xml:space="preserve">PHY layer procedures at </w:t>
      </w:r>
      <w:r>
        <w:rPr>
          <w:sz w:val="20"/>
        </w:rPr>
        <w:t xml:space="preserve">RAN1 </w:t>
      </w:r>
      <w:r>
        <w:rPr>
          <w:rFonts w:hint="eastAsia"/>
          <w:sz w:val="20"/>
        </w:rPr>
        <w:t>#98bis and the following email discussion</w:t>
      </w:r>
      <w:r>
        <w:rPr>
          <w:sz w:val="20"/>
        </w:rPr>
        <w:t xml:space="preserve"> </w:t>
      </w:r>
      <w:r>
        <w:rPr>
          <w:rFonts w:hint="eastAsia"/>
          <w:sz w:val="20"/>
        </w:rPr>
        <w:t>[1]</w:t>
      </w:r>
      <w:r>
        <w:rPr>
          <w:sz w:val="20"/>
        </w:rPr>
        <w:t xml:space="preserve">: </w:t>
      </w:r>
    </w:p>
    <w:tbl>
      <w:tblPr>
        <w:tblStyle w:val="TableGrid"/>
        <w:tblW w:w="9571" w:type="dxa"/>
        <w:tblLayout w:type="fixed"/>
        <w:tblLook w:val="04A0" w:firstRow="1" w:lastRow="0" w:firstColumn="1" w:lastColumn="0" w:noHBand="0" w:noVBand="1"/>
      </w:tblPr>
      <w:tblGrid>
        <w:gridCol w:w="9571"/>
      </w:tblGrid>
      <w:tr w:rsidR="000F734B">
        <w:tc>
          <w:tcPr>
            <w:tcW w:w="9571" w:type="dxa"/>
          </w:tcPr>
          <w:p w:rsidR="000F734B" w:rsidRDefault="00181331">
            <w:pPr>
              <w:spacing w:before="120" w:after="120"/>
              <w:rPr>
                <w:rFonts w:asciiTheme="minorHAnsi"/>
                <w:sz w:val="20"/>
                <w:highlight w:val="darkYellow"/>
              </w:rPr>
            </w:pPr>
            <w:r>
              <w:rPr>
                <w:rFonts w:asciiTheme="minorHAnsi"/>
                <w:sz w:val="20"/>
                <w:highlight w:val="darkYellow"/>
              </w:rPr>
              <w:t>Working assumption:</w:t>
            </w:r>
          </w:p>
          <w:p w:rsidR="000F734B" w:rsidRDefault="00181331">
            <w:pPr>
              <w:pStyle w:val="LGTdoc"/>
              <w:numPr>
                <w:ilvl w:val="0"/>
                <w:numId w:val="7"/>
              </w:numPr>
              <w:spacing w:before="120" w:beforeAutospacing="1" w:afterLines="0" w:after="60"/>
              <w:rPr>
                <w:rFonts w:asciiTheme="minorHAnsi"/>
                <w:sz w:val="20"/>
              </w:rPr>
            </w:pPr>
            <w:r>
              <w:rPr>
                <w:rFonts w:asciiTheme="minorHAnsi"/>
                <w:sz w:val="20"/>
              </w:rPr>
              <w:t>For the power limited case in supporting simultaneous sidelink and uplink transmissions (SL carrier is different from UL carrier),</w:t>
            </w:r>
          </w:p>
          <w:p w:rsidR="000F734B" w:rsidRDefault="00181331">
            <w:pPr>
              <w:pStyle w:val="LGTdoc"/>
              <w:numPr>
                <w:ilvl w:val="1"/>
                <w:numId w:val="7"/>
              </w:numPr>
              <w:spacing w:before="120" w:beforeAutospacing="1" w:afterLines="0" w:after="60"/>
              <w:rPr>
                <w:rFonts w:asciiTheme="minorHAnsi"/>
                <w:sz w:val="20"/>
              </w:rPr>
            </w:pPr>
            <w:r>
              <w:rPr>
                <w:rFonts w:asciiTheme="minorHAnsi"/>
                <w:sz w:val="20"/>
              </w:rPr>
              <w:t xml:space="preserve">If sidelink transmission is prioritized over uplink transmission, the UE shall adjust the uplink transmission power before the start of the transmission such that its total transmission power does not exceed </w:t>
            </w:r>
            <w:r>
              <w:rPr>
                <w:rFonts w:asciiTheme="minorHAnsi"/>
                <w:noProof/>
                <w:sz w:val="20"/>
                <w:lang w:eastAsia="zh-CN"/>
              </w:rPr>
              <w:drawing>
                <wp:inline distT="0" distB="0" distL="114300" distR="114300">
                  <wp:extent cx="391160" cy="231775"/>
                  <wp:effectExtent l="0" t="0" r="8890" b="16510"/>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5"/>
                          <pic:cNvPicPr>
                            <a:picLocks noChangeAspect="1"/>
                          </pic:cNvPicPr>
                        </pic:nvPicPr>
                        <pic:blipFill>
                          <a:blip r:embed="rId9"/>
                          <a:stretch>
                            <a:fillRect/>
                          </a:stretch>
                        </pic:blipFill>
                        <pic:spPr>
                          <a:xfrm>
                            <a:off x="0" y="0"/>
                            <a:ext cx="391160" cy="231775"/>
                          </a:xfrm>
                          <a:prstGeom prst="rect">
                            <a:avLst/>
                          </a:prstGeom>
                          <a:noFill/>
                          <a:ln>
                            <a:noFill/>
                          </a:ln>
                        </pic:spPr>
                      </pic:pic>
                    </a:graphicData>
                  </a:graphic>
                </wp:inline>
              </w:drawing>
            </w:r>
            <w:r>
              <w:rPr>
                <w:rFonts w:asciiTheme="minorHAnsi"/>
                <w:sz w:val="20"/>
              </w:rPr>
              <w:t xml:space="preserve"> on any overlapped portion. In this case, calculation of the adjustment to the uplink transmission power is not specified.</w:t>
            </w:r>
          </w:p>
          <w:p w:rsidR="000F734B" w:rsidRDefault="00181331">
            <w:pPr>
              <w:pStyle w:val="LGTdoc"/>
              <w:numPr>
                <w:ilvl w:val="1"/>
                <w:numId w:val="7"/>
              </w:numPr>
              <w:spacing w:before="120" w:beforeAutospacing="1" w:afterLines="0" w:after="60"/>
              <w:rPr>
                <w:rFonts w:asciiTheme="minorHAnsi"/>
                <w:sz w:val="20"/>
              </w:rPr>
            </w:pPr>
            <w:r>
              <w:rPr>
                <w:rFonts w:asciiTheme="minorHAnsi"/>
                <w:sz w:val="20"/>
              </w:rPr>
              <w:t xml:space="preserve">If uplink transmission is prioritized over sidelink transmission, the UE shall adjust the sidelink transmission power before the start of the transmission such that its total transmission power does not exceed </w:t>
            </w:r>
            <w:r>
              <w:rPr>
                <w:rFonts w:asciiTheme="minorHAnsi"/>
                <w:noProof/>
                <w:position w:val="-12"/>
                <w:sz w:val="20"/>
                <w:lang w:eastAsia="zh-CN"/>
              </w:rPr>
              <w:drawing>
                <wp:inline distT="0" distB="0" distL="114300" distR="114300">
                  <wp:extent cx="391160" cy="231775"/>
                  <wp:effectExtent l="0" t="0" r="8890" b="16510"/>
                  <wp:docPr id="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6"/>
                          <pic:cNvPicPr>
                            <a:picLocks noChangeAspect="1"/>
                          </pic:cNvPicPr>
                        </pic:nvPicPr>
                        <pic:blipFill>
                          <a:blip r:embed="rId9"/>
                          <a:stretch>
                            <a:fillRect/>
                          </a:stretch>
                        </pic:blipFill>
                        <pic:spPr>
                          <a:xfrm>
                            <a:off x="0" y="0"/>
                            <a:ext cx="391160" cy="231775"/>
                          </a:xfrm>
                          <a:prstGeom prst="rect">
                            <a:avLst/>
                          </a:prstGeom>
                          <a:noFill/>
                          <a:ln>
                            <a:noFill/>
                          </a:ln>
                        </pic:spPr>
                      </pic:pic>
                    </a:graphicData>
                  </a:graphic>
                </wp:inline>
              </w:drawing>
            </w:r>
            <w:r>
              <w:rPr>
                <w:rFonts w:asciiTheme="minorHAnsi"/>
                <w:sz w:val="20"/>
              </w:rPr>
              <w:t xml:space="preserve"> on any overlapped portion. In this case, calculation of the adjustment to the sidelink transmission power is not specified.</w:t>
            </w:r>
          </w:p>
          <w:p w:rsidR="000F734B" w:rsidRDefault="00181331">
            <w:pPr>
              <w:pStyle w:val="LGTdoc"/>
              <w:numPr>
                <w:ilvl w:val="1"/>
                <w:numId w:val="7"/>
              </w:numPr>
              <w:spacing w:before="120" w:beforeAutospacing="1" w:afterLines="0" w:after="60"/>
              <w:rPr>
                <w:rFonts w:asciiTheme="minorHAnsi"/>
                <w:sz w:val="20"/>
              </w:rPr>
            </w:pPr>
            <w:r>
              <w:rPr>
                <w:rFonts w:asciiTheme="minorHAnsi"/>
                <w:sz w:val="20"/>
              </w:rPr>
              <w:t>Total sidelink transmit power is the same in the symbols used for actual PSCCH/PSSCH transmissions in a slot in case of simultaneous transmission of sidelink and uplink</w:t>
            </w:r>
          </w:p>
          <w:p w:rsidR="000F734B" w:rsidRDefault="00181331">
            <w:pPr>
              <w:pStyle w:val="LGTdoc"/>
              <w:numPr>
                <w:ilvl w:val="2"/>
                <w:numId w:val="7"/>
              </w:numPr>
              <w:spacing w:before="120" w:beforeAutospacing="1" w:afterLines="0" w:after="60"/>
              <w:rPr>
                <w:rFonts w:asciiTheme="minorHAnsi"/>
                <w:sz w:val="20"/>
              </w:rPr>
            </w:pPr>
            <w:r>
              <w:rPr>
                <w:rFonts w:asciiTheme="minorHAnsi"/>
                <w:sz w:val="20"/>
              </w:rPr>
              <w:t>PSCCH/PSSCH transmissions can be dropped in some symbols when there are uplink transmissions with higher priority and the UE cannot keep the same sidelink transmission power in the symbols.</w:t>
            </w:r>
          </w:p>
          <w:p w:rsidR="000F734B" w:rsidRDefault="00181331">
            <w:pPr>
              <w:pStyle w:val="LGTdoc"/>
              <w:numPr>
                <w:ilvl w:val="3"/>
                <w:numId w:val="7"/>
              </w:numPr>
              <w:spacing w:before="120" w:beforeAutospacing="1" w:afterLines="0" w:after="60"/>
              <w:rPr>
                <w:rFonts w:asciiTheme="minorHAnsi"/>
                <w:sz w:val="20"/>
              </w:rPr>
            </w:pPr>
            <w:r>
              <w:rPr>
                <w:rFonts w:asciiTheme="minorHAnsi"/>
                <w:sz w:val="20"/>
              </w:rPr>
              <w:t>Selection of the dropped symbols is up to UE implementation where the dropped symbols should include the overlapping symbols.</w:t>
            </w:r>
          </w:p>
          <w:p w:rsidR="000F734B" w:rsidRDefault="00181331">
            <w:pPr>
              <w:pStyle w:val="LGTdoc"/>
              <w:numPr>
                <w:ilvl w:val="1"/>
                <w:numId w:val="7"/>
              </w:numPr>
              <w:spacing w:before="120" w:beforeAutospacing="1" w:afterLines="0" w:after="60"/>
              <w:rPr>
                <w:rFonts w:asciiTheme="minorHAnsi"/>
                <w:sz w:val="20"/>
              </w:rPr>
            </w:pPr>
            <w:r>
              <w:rPr>
                <w:rFonts w:asciiTheme="minorHAnsi"/>
                <w:sz w:val="20"/>
              </w:rPr>
              <w:t>If the simultaneous transmission of sidelink and uplink is beyond the UE capability, the one not prioritized can be dropped.</w:t>
            </w:r>
          </w:p>
          <w:p w:rsidR="000F734B" w:rsidRDefault="00181331">
            <w:pPr>
              <w:pStyle w:val="LGTdoc"/>
              <w:numPr>
                <w:ilvl w:val="1"/>
                <w:numId w:val="7"/>
              </w:numPr>
              <w:spacing w:before="120" w:beforeAutospacing="1" w:afterLines="0" w:after="60"/>
              <w:rPr>
                <w:rFonts w:asciiTheme="minorHAnsi"/>
                <w:sz w:val="20"/>
              </w:rPr>
            </w:pPr>
            <w:r>
              <w:rPr>
                <w:rFonts w:asciiTheme="minorHAnsi"/>
                <w:sz w:val="20"/>
              </w:rPr>
              <w:t>FFS: when to prioritize which transmission</w:t>
            </w:r>
          </w:p>
          <w:p w:rsidR="000F734B" w:rsidRDefault="00181331">
            <w:pPr>
              <w:pStyle w:val="LGTdoc"/>
              <w:numPr>
                <w:ilvl w:val="1"/>
                <w:numId w:val="7"/>
              </w:numPr>
              <w:spacing w:before="120" w:beforeAutospacing="1" w:afterLines="0" w:after="60"/>
              <w:rPr>
                <w:rFonts w:asciiTheme="minorHAnsi"/>
                <w:sz w:val="20"/>
              </w:rPr>
            </w:pPr>
            <w:r>
              <w:rPr>
                <w:rFonts w:asciiTheme="minorHAnsi"/>
                <w:sz w:val="20"/>
              </w:rPr>
              <w:t>FFS: how to address UE processing time</w:t>
            </w:r>
          </w:p>
          <w:p w:rsidR="000F734B" w:rsidRDefault="00181331">
            <w:pPr>
              <w:pStyle w:val="LGTdoc"/>
              <w:numPr>
                <w:ilvl w:val="1"/>
                <w:numId w:val="7"/>
              </w:numPr>
              <w:spacing w:before="120" w:beforeAutospacing="1" w:afterLines="0" w:after="60"/>
              <w:rPr>
                <w:rFonts w:asciiTheme="minorHAnsi"/>
                <w:sz w:val="20"/>
              </w:rPr>
            </w:pPr>
            <w:r>
              <w:rPr>
                <w:rFonts w:asciiTheme="minorHAnsi"/>
                <w:sz w:val="20"/>
              </w:rPr>
              <w:t>FFS: whether there is a case of dropping some symbols of uplink transmissions</w:t>
            </w:r>
          </w:p>
          <w:p w:rsidR="000F734B" w:rsidRDefault="00181331">
            <w:pPr>
              <w:pStyle w:val="LGTdoc"/>
              <w:numPr>
                <w:ilvl w:val="1"/>
                <w:numId w:val="7"/>
              </w:numPr>
              <w:spacing w:before="120" w:beforeAutospacing="1" w:afterLines="0" w:after="60"/>
              <w:rPr>
                <w:rFonts w:asciiTheme="minorHAnsi"/>
                <w:sz w:val="20"/>
              </w:rPr>
            </w:pPr>
            <w:r>
              <w:rPr>
                <w:rFonts w:asciiTheme="minorHAnsi"/>
                <w:sz w:val="20"/>
              </w:rPr>
              <w:t>Whether/how to address RF transient period is up to RAN4.</w:t>
            </w:r>
          </w:p>
          <w:p w:rsidR="000F734B" w:rsidRDefault="000F734B">
            <w:pPr>
              <w:spacing w:before="120" w:after="120"/>
              <w:rPr>
                <w:rFonts w:asciiTheme="minorHAnsi"/>
                <w:sz w:val="20"/>
              </w:rPr>
            </w:pPr>
          </w:p>
          <w:p w:rsidR="000F734B" w:rsidRDefault="00181331">
            <w:pPr>
              <w:spacing w:before="120" w:after="120"/>
              <w:rPr>
                <w:rFonts w:asciiTheme="minorHAnsi"/>
                <w:sz w:val="20"/>
              </w:rPr>
            </w:pPr>
            <w:r>
              <w:rPr>
                <w:rFonts w:asciiTheme="minorHAnsi"/>
                <w:sz w:val="20"/>
                <w:highlight w:val="green"/>
              </w:rPr>
              <w:t>Agreements</w:t>
            </w:r>
            <w:r>
              <w:rPr>
                <w:rFonts w:asciiTheme="minorHAnsi"/>
                <w:sz w:val="20"/>
              </w:rPr>
              <w:t>:</w:t>
            </w:r>
          </w:p>
          <w:p w:rsidR="000F734B" w:rsidRDefault="00181331">
            <w:pPr>
              <w:pStyle w:val="LGTdoc"/>
              <w:numPr>
                <w:ilvl w:val="0"/>
                <w:numId w:val="7"/>
              </w:numPr>
              <w:spacing w:before="120" w:beforeAutospacing="1" w:afterLines="0" w:after="60"/>
              <w:rPr>
                <w:rFonts w:asciiTheme="minorHAnsi"/>
                <w:sz w:val="20"/>
              </w:rPr>
            </w:pPr>
            <w:r>
              <w:rPr>
                <w:rFonts w:asciiTheme="minorHAnsi"/>
                <w:sz w:val="20"/>
              </w:rPr>
              <w:lastRenderedPageBreak/>
              <w:t xml:space="preserve">For PSFCH power control, </w:t>
            </w:r>
          </w:p>
          <w:p w:rsidR="000F734B" w:rsidRDefault="00181331">
            <w:pPr>
              <w:pStyle w:val="LGTdoc"/>
              <w:numPr>
                <w:ilvl w:val="1"/>
                <w:numId w:val="8"/>
              </w:numPr>
              <w:spacing w:before="120" w:beforeAutospacing="1" w:afterLines="0" w:after="60"/>
              <w:rPr>
                <w:rFonts w:asciiTheme="minorHAnsi"/>
                <w:sz w:val="20"/>
              </w:rPr>
            </w:pPr>
            <w:r>
              <w:rPr>
                <w:rFonts w:asciiTheme="minorHAnsi"/>
                <w:sz w:val="20"/>
              </w:rPr>
              <w:t>It is supported that the open-loop power control is based on the pathloss between PSFCH TX UE and gNB (if PSFCH TX UE is in-coverage):</w:t>
            </w:r>
          </w:p>
          <w:p w:rsidR="000F734B" w:rsidRDefault="00181331">
            <w:pPr>
              <w:pStyle w:val="LGTdoc"/>
              <w:numPr>
                <w:ilvl w:val="2"/>
                <w:numId w:val="7"/>
              </w:numPr>
              <w:spacing w:before="120" w:beforeAutospacing="1" w:afterLines="0" w:after="60"/>
              <w:rPr>
                <w:rFonts w:asciiTheme="minorHAnsi"/>
                <w:sz w:val="20"/>
              </w:rPr>
            </w:pPr>
            <w:r>
              <w:rPr>
                <w:rFonts w:asciiTheme="minorHAnsi"/>
                <w:sz w:val="20"/>
              </w:rPr>
              <w:t>The nominal power and alpha for PSFCH power control are configured separately from the parameters used for PSCCH/PSSCH power control.</w:t>
            </w:r>
          </w:p>
          <w:p w:rsidR="000F734B" w:rsidRDefault="00181331">
            <w:pPr>
              <w:pStyle w:val="LGTdoc"/>
              <w:numPr>
                <w:ilvl w:val="1"/>
                <w:numId w:val="8"/>
              </w:numPr>
              <w:spacing w:before="120" w:beforeAutospacing="1" w:afterLines="0" w:after="60"/>
              <w:rPr>
                <w:rFonts w:asciiTheme="minorHAnsi"/>
                <w:sz w:val="20"/>
              </w:rPr>
            </w:pPr>
            <w:r>
              <w:rPr>
                <w:rFonts w:asciiTheme="minorHAnsi"/>
                <w:sz w:val="20"/>
              </w:rPr>
              <w:t xml:space="preserve"> (</w:t>
            </w:r>
            <w:r>
              <w:rPr>
                <w:rFonts w:asciiTheme="minorHAnsi"/>
                <w:sz w:val="20"/>
                <w:highlight w:val="darkYellow"/>
              </w:rPr>
              <w:t>working assumption</w:t>
            </w:r>
            <w:r>
              <w:rPr>
                <w:rFonts w:asciiTheme="minorHAnsi"/>
                <w:sz w:val="20"/>
              </w:rPr>
              <w:t>) Sidelink pathloss based PSFCH power control is not supported.</w:t>
            </w:r>
          </w:p>
          <w:p w:rsidR="000F734B" w:rsidRDefault="00181331">
            <w:pPr>
              <w:spacing w:before="120" w:after="120"/>
              <w:rPr>
                <w:rFonts w:asciiTheme="minorHAnsi"/>
                <w:sz w:val="20"/>
              </w:rPr>
            </w:pPr>
            <w:r>
              <w:rPr>
                <w:rFonts w:asciiTheme="minorHAnsi"/>
                <w:sz w:val="20"/>
                <w:highlight w:val="green"/>
              </w:rPr>
              <w:t>Agreements</w:t>
            </w:r>
            <w:r>
              <w:rPr>
                <w:rFonts w:asciiTheme="minorHAnsi"/>
                <w:sz w:val="20"/>
              </w:rPr>
              <w:t>:</w:t>
            </w:r>
          </w:p>
          <w:p w:rsidR="000F734B" w:rsidRDefault="00181331">
            <w:pPr>
              <w:pStyle w:val="LGTdoc"/>
              <w:numPr>
                <w:ilvl w:val="0"/>
                <w:numId w:val="7"/>
              </w:numPr>
              <w:spacing w:before="120" w:beforeAutospacing="1" w:afterLines="0" w:after="60"/>
              <w:rPr>
                <w:rFonts w:asciiTheme="minorHAnsi"/>
                <w:sz w:val="20"/>
              </w:rPr>
            </w:pPr>
            <w:r>
              <w:rPr>
                <w:rFonts w:asciiTheme="minorHAnsi"/>
                <w:sz w:val="20"/>
              </w:rPr>
              <w:t xml:space="preserve">L3-filtered sidelink RSRP reporting (from RX UE to TX UE) for open-loop power control for PSCCH/PSSCH uses higher layer signaling. </w:t>
            </w:r>
          </w:p>
          <w:p w:rsidR="000F734B" w:rsidRDefault="00181331">
            <w:pPr>
              <w:pStyle w:val="LGTdoc"/>
              <w:numPr>
                <w:ilvl w:val="1"/>
                <w:numId w:val="8"/>
              </w:numPr>
              <w:spacing w:before="120" w:beforeAutospacing="1" w:afterLines="0" w:after="60"/>
              <w:rPr>
                <w:rFonts w:asciiTheme="minorHAnsi"/>
                <w:sz w:val="20"/>
              </w:rPr>
            </w:pPr>
            <w:r>
              <w:rPr>
                <w:rFonts w:asciiTheme="minorHAnsi"/>
                <w:sz w:val="20"/>
              </w:rPr>
              <w:t>Details (e.g., reporting layer, triggering condition, etc.) are up to RAN2.</w:t>
            </w:r>
          </w:p>
          <w:p w:rsidR="000F734B" w:rsidRDefault="00181331">
            <w:pPr>
              <w:pStyle w:val="LGTdoc"/>
              <w:numPr>
                <w:ilvl w:val="1"/>
                <w:numId w:val="8"/>
              </w:numPr>
              <w:spacing w:before="120" w:beforeAutospacing="1" w:afterLines="0" w:after="60"/>
              <w:rPr>
                <w:rFonts w:asciiTheme="minorHAnsi"/>
                <w:sz w:val="20"/>
              </w:rPr>
            </w:pPr>
            <w:r>
              <w:rPr>
                <w:rFonts w:asciiTheme="minorHAnsi"/>
                <w:sz w:val="20"/>
              </w:rPr>
              <w:t>FFS: Other details</w:t>
            </w:r>
          </w:p>
          <w:p w:rsidR="000F734B" w:rsidRDefault="000F734B">
            <w:pPr>
              <w:spacing w:before="120" w:after="120"/>
              <w:rPr>
                <w:rFonts w:asciiTheme="minorHAnsi"/>
                <w:sz w:val="20"/>
              </w:rPr>
            </w:pPr>
          </w:p>
          <w:p w:rsidR="000F734B" w:rsidRDefault="00181331">
            <w:pPr>
              <w:spacing w:before="120" w:after="120"/>
              <w:rPr>
                <w:rFonts w:asciiTheme="minorHAnsi"/>
                <w:sz w:val="20"/>
              </w:rPr>
            </w:pPr>
            <w:r>
              <w:rPr>
                <w:rFonts w:asciiTheme="minorHAnsi"/>
                <w:sz w:val="20"/>
                <w:highlight w:val="green"/>
              </w:rPr>
              <w:t>Agreements</w:t>
            </w:r>
            <w:r>
              <w:rPr>
                <w:rFonts w:asciiTheme="minorHAnsi"/>
                <w:sz w:val="20"/>
              </w:rPr>
              <w:t>:</w:t>
            </w:r>
          </w:p>
          <w:p w:rsidR="000F734B" w:rsidRDefault="00181331">
            <w:pPr>
              <w:pStyle w:val="LGTdoc"/>
              <w:numPr>
                <w:ilvl w:val="0"/>
                <w:numId w:val="7"/>
              </w:numPr>
              <w:spacing w:before="120" w:beforeAutospacing="1" w:afterLines="0" w:after="60"/>
              <w:rPr>
                <w:rFonts w:asciiTheme="minorHAnsi"/>
                <w:sz w:val="20"/>
              </w:rPr>
            </w:pPr>
            <w:r>
              <w:rPr>
                <w:rFonts w:asciiTheme="minorHAnsi"/>
                <w:sz w:val="20"/>
              </w:rPr>
              <w:t>For SL-RSRP measurement for SL open-loop power control, PSSCH DMRS is used</w:t>
            </w:r>
          </w:p>
          <w:p w:rsidR="000F734B" w:rsidRDefault="000F734B">
            <w:pPr>
              <w:spacing w:before="120" w:after="120"/>
              <w:rPr>
                <w:rFonts w:asciiTheme="minorHAnsi"/>
                <w:sz w:val="20"/>
              </w:rPr>
            </w:pPr>
          </w:p>
          <w:p w:rsidR="000F734B" w:rsidRDefault="00181331">
            <w:pPr>
              <w:spacing w:before="120" w:after="120"/>
              <w:rPr>
                <w:rFonts w:asciiTheme="minorHAnsi"/>
                <w:sz w:val="20"/>
              </w:rPr>
            </w:pPr>
            <w:r>
              <w:rPr>
                <w:rFonts w:asciiTheme="minorHAnsi"/>
                <w:sz w:val="20"/>
                <w:highlight w:val="green"/>
              </w:rPr>
              <w:t>Agreements</w:t>
            </w:r>
            <w:r>
              <w:rPr>
                <w:rFonts w:asciiTheme="minorHAnsi"/>
                <w:sz w:val="20"/>
              </w:rPr>
              <w:t>:</w:t>
            </w:r>
          </w:p>
          <w:p w:rsidR="000F734B" w:rsidRDefault="00181331">
            <w:pPr>
              <w:pStyle w:val="LGTdoc"/>
              <w:numPr>
                <w:ilvl w:val="0"/>
                <w:numId w:val="7"/>
              </w:numPr>
              <w:spacing w:before="120" w:beforeAutospacing="1" w:afterLines="0" w:after="60"/>
              <w:rPr>
                <w:rFonts w:asciiTheme="minorHAnsi"/>
                <w:sz w:val="20"/>
              </w:rPr>
            </w:pPr>
            <w:r>
              <w:rPr>
                <w:rFonts w:asciiTheme="minorHAnsi"/>
                <w:sz w:val="20"/>
              </w:rPr>
              <w:t xml:space="preserve">For CQI/RI reporting on PSSCH: </w:t>
            </w:r>
          </w:p>
          <w:p w:rsidR="000F734B" w:rsidRDefault="00181331">
            <w:pPr>
              <w:pStyle w:val="LGTdoc"/>
              <w:numPr>
                <w:ilvl w:val="1"/>
                <w:numId w:val="8"/>
              </w:numPr>
              <w:spacing w:before="120" w:beforeAutospacing="1" w:afterLines="0" w:after="60"/>
              <w:rPr>
                <w:rFonts w:asciiTheme="minorHAnsi"/>
                <w:sz w:val="20"/>
              </w:rPr>
            </w:pPr>
            <w:r>
              <w:rPr>
                <w:rFonts w:asciiTheme="minorHAnsi"/>
                <w:sz w:val="20"/>
              </w:rPr>
              <w:t>Higher layer signaling (e.g. MAC CE) is used for CQI/RI reporting</w:t>
            </w:r>
          </w:p>
          <w:p w:rsidR="000F734B" w:rsidRDefault="00181331">
            <w:pPr>
              <w:pStyle w:val="LGTdoc"/>
              <w:numPr>
                <w:ilvl w:val="2"/>
                <w:numId w:val="9"/>
              </w:numPr>
              <w:spacing w:before="120" w:beforeAutospacing="1" w:afterLines="0" w:after="60"/>
              <w:rPr>
                <w:rFonts w:asciiTheme="minorHAnsi"/>
                <w:sz w:val="20"/>
              </w:rPr>
            </w:pPr>
            <w:r>
              <w:rPr>
                <w:rFonts w:asciiTheme="minorHAnsi"/>
                <w:sz w:val="20"/>
              </w:rPr>
              <w:t>Details up to RAN2</w:t>
            </w:r>
          </w:p>
          <w:p w:rsidR="000F734B" w:rsidRDefault="00181331">
            <w:pPr>
              <w:pStyle w:val="LGTdoc"/>
              <w:numPr>
                <w:ilvl w:val="1"/>
                <w:numId w:val="8"/>
              </w:numPr>
              <w:spacing w:before="120" w:beforeAutospacing="1" w:afterLines="0" w:after="60"/>
              <w:rPr>
                <w:rFonts w:asciiTheme="minorHAnsi"/>
                <w:sz w:val="20"/>
              </w:rPr>
            </w:pPr>
            <w:r>
              <w:rPr>
                <w:rFonts w:asciiTheme="minorHAnsi"/>
                <w:sz w:val="20"/>
              </w:rPr>
              <w:t>SL CQI/RI measurement and derivation are based on the existing physical layer procedure for Uu</w:t>
            </w:r>
          </w:p>
          <w:p w:rsidR="000F734B" w:rsidRDefault="00181331">
            <w:pPr>
              <w:pStyle w:val="LGTdoc"/>
              <w:spacing w:before="120" w:beforeAutospacing="1" w:afterLines="0" w:after="60"/>
              <w:rPr>
                <w:rFonts w:asciiTheme="minorHAnsi"/>
                <w:b/>
                <w:bCs/>
                <w:sz w:val="20"/>
              </w:rPr>
            </w:pPr>
            <w:r>
              <w:rPr>
                <w:rFonts w:asciiTheme="minorHAnsi"/>
                <w:sz w:val="20"/>
              </w:rPr>
              <w:t xml:space="preserve">Send an LS to RAN2 to capture the above agreements, along with those related to power control, to RAN2 </w:t>
            </w:r>
            <w:r>
              <w:rPr>
                <w:rFonts w:asciiTheme="minorHAnsi"/>
                <w:sz w:val="20"/>
              </w:rPr>
              <w:t>–</w:t>
            </w:r>
            <w:r>
              <w:rPr>
                <w:rFonts w:asciiTheme="minorHAnsi"/>
                <w:sz w:val="20"/>
              </w:rPr>
              <w:t xml:space="preserve"> Hanbyul (LGE), </w:t>
            </w:r>
            <w:r>
              <w:rPr>
                <w:rFonts w:asciiTheme="minorHAnsi"/>
                <w:b/>
                <w:bCs/>
                <w:sz w:val="20"/>
              </w:rPr>
              <w:t>R1-1911662</w:t>
            </w:r>
            <w:r>
              <w:rPr>
                <w:rFonts w:asciiTheme="minorHAnsi"/>
                <w:sz w:val="20"/>
              </w:rPr>
              <w:t xml:space="preserve">, which is </w:t>
            </w:r>
            <w:r>
              <w:rPr>
                <w:rFonts w:asciiTheme="minorHAnsi"/>
                <w:sz w:val="20"/>
                <w:highlight w:val="green"/>
              </w:rPr>
              <w:t xml:space="preserve">endorsed </w:t>
            </w:r>
            <w:r>
              <w:rPr>
                <w:rFonts w:asciiTheme="minorHAnsi"/>
                <w:sz w:val="20"/>
              </w:rPr>
              <w:t xml:space="preserve">with final LS </w:t>
            </w:r>
            <w:r>
              <w:rPr>
                <w:rFonts w:asciiTheme="minorHAnsi"/>
                <w:sz w:val="20"/>
                <w:highlight w:val="green"/>
              </w:rPr>
              <w:t>R1-1911698</w:t>
            </w:r>
            <w:r>
              <w:rPr>
                <w:rFonts w:asciiTheme="minorHAnsi"/>
                <w:b/>
                <w:bCs/>
                <w:sz w:val="20"/>
              </w:rPr>
              <w:t xml:space="preserve">. </w:t>
            </w:r>
          </w:p>
          <w:p w:rsidR="000F734B" w:rsidRDefault="00181331">
            <w:pPr>
              <w:spacing w:before="120" w:after="120"/>
              <w:rPr>
                <w:rFonts w:asciiTheme="minorHAnsi"/>
                <w:sz w:val="20"/>
              </w:rPr>
            </w:pPr>
            <w:r>
              <w:rPr>
                <w:rFonts w:asciiTheme="minorHAnsi"/>
                <w:sz w:val="20"/>
                <w:highlight w:val="green"/>
              </w:rPr>
              <w:t>Agreements</w:t>
            </w:r>
            <w:r>
              <w:rPr>
                <w:rFonts w:asciiTheme="minorHAnsi"/>
                <w:sz w:val="20"/>
              </w:rPr>
              <w:t>:</w:t>
            </w:r>
          </w:p>
          <w:p w:rsidR="000F734B" w:rsidRDefault="00181331">
            <w:pPr>
              <w:pStyle w:val="LGTdoc"/>
              <w:numPr>
                <w:ilvl w:val="0"/>
                <w:numId w:val="7"/>
              </w:numPr>
              <w:spacing w:before="120" w:beforeAutospacing="1" w:afterLines="0" w:after="60"/>
              <w:rPr>
                <w:rFonts w:asciiTheme="minorHAnsi"/>
                <w:sz w:val="20"/>
              </w:rPr>
            </w:pPr>
            <w:r>
              <w:rPr>
                <w:rFonts w:asciiTheme="minorHAnsi"/>
                <w:sz w:val="20"/>
              </w:rPr>
              <w:t>For PSSCH-to-HARQ feedback timing, K is the number of logical slots (i.e. the slots within the resource pool)</w:t>
            </w:r>
          </w:p>
          <w:p w:rsidR="000F734B" w:rsidRDefault="00181331">
            <w:pPr>
              <w:spacing w:before="120" w:after="120"/>
              <w:rPr>
                <w:rFonts w:asciiTheme="minorHAnsi"/>
                <w:sz w:val="20"/>
                <w:highlight w:val="darkYellow"/>
              </w:rPr>
            </w:pPr>
            <w:r>
              <w:rPr>
                <w:rFonts w:asciiTheme="minorHAnsi"/>
                <w:sz w:val="20"/>
                <w:highlight w:val="darkYellow"/>
              </w:rPr>
              <w:t>Working assumption:</w:t>
            </w:r>
          </w:p>
          <w:p w:rsidR="000F734B" w:rsidRDefault="00181331">
            <w:pPr>
              <w:pStyle w:val="LGTdoc"/>
              <w:numPr>
                <w:ilvl w:val="0"/>
                <w:numId w:val="7"/>
              </w:numPr>
              <w:spacing w:before="120" w:beforeAutospacing="1" w:afterLines="0" w:after="60"/>
              <w:rPr>
                <w:rFonts w:asciiTheme="minorHAnsi"/>
                <w:sz w:val="20"/>
              </w:rPr>
            </w:pPr>
            <w:r>
              <w:rPr>
                <w:rFonts w:asciiTheme="minorHAnsi"/>
                <w:sz w:val="20"/>
              </w:rPr>
              <w:t xml:space="preserve">For TX-RX distance-based </w:t>
            </w:r>
            <w:r>
              <w:rPr>
                <w:rFonts w:asciiTheme="minorHAnsi"/>
                <w:sz w:val="20"/>
                <w:lang w:eastAsia="zh-CN"/>
              </w:rPr>
              <w:t>HARQ feedback for groupcast Option 1,</w:t>
            </w:r>
          </w:p>
          <w:p w:rsidR="000F734B" w:rsidRDefault="00181331">
            <w:pPr>
              <w:pStyle w:val="LGTdoc"/>
              <w:numPr>
                <w:ilvl w:val="1"/>
                <w:numId w:val="8"/>
              </w:numPr>
              <w:spacing w:before="120" w:beforeAutospacing="1" w:afterLines="0" w:after="60"/>
              <w:rPr>
                <w:rFonts w:asciiTheme="minorHAnsi"/>
                <w:sz w:val="20"/>
              </w:rPr>
            </w:pPr>
            <w:r>
              <w:rPr>
                <w:rFonts w:asciiTheme="minorHAnsi"/>
                <w:sz w:val="20"/>
              </w:rPr>
              <w:t>Zone is (pre-)configured with respect to geographical area, and Zone ID associated with TE UE</w:t>
            </w:r>
            <w:r>
              <w:rPr>
                <w:rFonts w:asciiTheme="minorHAnsi"/>
                <w:sz w:val="20"/>
              </w:rPr>
              <w:t>’</w:t>
            </w:r>
            <w:r>
              <w:rPr>
                <w:rFonts w:asciiTheme="minorHAnsi"/>
                <w:sz w:val="20"/>
              </w:rPr>
              <w:t>s location is indicated by SCI.</w:t>
            </w:r>
          </w:p>
          <w:p w:rsidR="000F734B" w:rsidRDefault="00181331">
            <w:pPr>
              <w:pStyle w:val="LGTdoc"/>
              <w:numPr>
                <w:ilvl w:val="2"/>
                <w:numId w:val="8"/>
              </w:numPr>
              <w:spacing w:before="120" w:beforeAutospacing="1" w:afterLines="0" w:after="60"/>
              <w:rPr>
                <w:rFonts w:asciiTheme="minorHAnsi"/>
                <w:sz w:val="20"/>
              </w:rPr>
            </w:pPr>
            <w:r>
              <w:rPr>
                <w:rFonts w:asciiTheme="minorHAnsi"/>
                <w:sz w:val="20"/>
              </w:rPr>
              <w:lastRenderedPageBreak/>
              <w:t>Details FFS</w:t>
            </w:r>
          </w:p>
          <w:p w:rsidR="000F734B" w:rsidRDefault="00181331">
            <w:pPr>
              <w:pStyle w:val="LGTdoc"/>
              <w:numPr>
                <w:ilvl w:val="2"/>
                <w:numId w:val="8"/>
              </w:numPr>
              <w:spacing w:before="120" w:beforeAutospacing="1" w:afterLines="0" w:after="60"/>
              <w:rPr>
                <w:rFonts w:asciiTheme="minorHAnsi"/>
                <w:sz w:val="20"/>
              </w:rPr>
            </w:pPr>
            <w:r>
              <w:rPr>
                <w:rFonts w:asciiTheme="minorHAnsi"/>
                <w:sz w:val="20"/>
              </w:rPr>
              <w:t>Note: this does not intend to impact the discussion on the zone based resource allocation.</w:t>
            </w:r>
          </w:p>
          <w:p w:rsidR="000F734B" w:rsidRDefault="00181331">
            <w:pPr>
              <w:spacing w:before="120" w:after="120"/>
              <w:rPr>
                <w:rFonts w:asciiTheme="minorHAnsi"/>
                <w:sz w:val="20"/>
              </w:rPr>
            </w:pPr>
            <w:r>
              <w:rPr>
                <w:rFonts w:asciiTheme="minorHAnsi"/>
                <w:sz w:val="20"/>
                <w:highlight w:val="green"/>
              </w:rPr>
              <w:t>Agreements</w:t>
            </w:r>
            <w:r>
              <w:rPr>
                <w:rFonts w:asciiTheme="minorHAnsi"/>
                <w:sz w:val="20"/>
              </w:rPr>
              <w:t>:</w:t>
            </w:r>
          </w:p>
          <w:p w:rsidR="000F734B" w:rsidRDefault="00181331">
            <w:pPr>
              <w:pStyle w:val="LGTdoc"/>
              <w:numPr>
                <w:ilvl w:val="0"/>
                <w:numId w:val="7"/>
              </w:numPr>
              <w:spacing w:before="120" w:beforeAutospacing="1" w:afterLines="0" w:after="60"/>
              <w:rPr>
                <w:rFonts w:asciiTheme="minorHAnsi"/>
                <w:sz w:val="20"/>
              </w:rPr>
            </w:pPr>
            <w:r>
              <w:rPr>
                <w:rFonts w:asciiTheme="minorHAnsi"/>
                <w:sz w:val="20"/>
              </w:rPr>
              <w:t>For the communication range requirement for TX-RX distance-based HARQ feedback, explicit indication in the 2</w:t>
            </w:r>
            <w:r>
              <w:rPr>
                <w:rFonts w:asciiTheme="minorHAnsi"/>
                <w:sz w:val="20"/>
                <w:vertAlign w:val="superscript"/>
              </w:rPr>
              <w:t>nd</w:t>
            </w:r>
            <w:r>
              <w:rPr>
                <w:rFonts w:asciiTheme="minorHAnsi"/>
                <w:sz w:val="20"/>
              </w:rPr>
              <w:t xml:space="preserve"> stage SCI is used.</w:t>
            </w:r>
          </w:p>
          <w:p w:rsidR="000F734B" w:rsidRDefault="00181331">
            <w:pPr>
              <w:pStyle w:val="LGTdoc"/>
              <w:numPr>
                <w:ilvl w:val="1"/>
                <w:numId w:val="10"/>
              </w:numPr>
              <w:spacing w:before="120" w:beforeAutospacing="1" w:afterLines="0" w:after="60"/>
              <w:rPr>
                <w:rFonts w:asciiTheme="minorHAnsi"/>
                <w:sz w:val="20"/>
              </w:rPr>
            </w:pPr>
            <w:r>
              <w:rPr>
                <w:rFonts w:asciiTheme="minorHAnsi"/>
                <w:sz w:val="20"/>
              </w:rPr>
              <w:t>FFS details</w:t>
            </w:r>
          </w:p>
          <w:p w:rsidR="000F734B" w:rsidRDefault="000F734B">
            <w:pPr>
              <w:spacing w:before="120" w:after="120"/>
              <w:rPr>
                <w:rFonts w:asciiTheme="minorHAnsi"/>
                <w:sz w:val="20"/>
              </w:rPr>
            </w:pPr>
          </w:p>
          <w:p w:rsidR="000F734B" w:rsidRDefault="00181331">
            <w:pPr>
              <w:spacing w:before="120" w:after="120"/>
              <w:rPr>
                <w:rFonts w:asciiTheme="minorHAnsi"/>
                <w:sz w:val="20"/>
                <w:highlight w:val="darkYellow"/>
              </w:rPr>
            </w:pPr>
            <w:r>
              <w:rPr>
                <w:rFonts w:asciiTheme="minorHAnsi"/>
                <w:sz w:val="20"/>
                <w:highlight w:val="darkYellow"/>
              </w:rPr>
              <w:t>Working assumption:</w:t>
            </w:r>
          </w:p>
          <w:p w:rsidR="000F734B" w:rsidRDefault="00181331">
            <w:pPr>
              <w:pStyle w:val="LGTdoc"/>
              <w:numPr>
                <w:ilvl w:val="0"/>
                <w:numId w:val="10"/>
              </w:numPr>
              <w:spacing w:before="120" w:beforeAutospacing="1" w:afterLines="0" w:after="60"/>
              <w:rPr>
                <w:rFonts w:asciiTheme="minorHAnsi"/>
                <w:sz w:val="20"/>
              </w:rPr>
            </w:pPr>
            <w:r>
              <w:rPr>
                <w:rFonts w:asciiTheme="minorHAnsi"/>
                <w:sz w:val="20"/>
              </w:rPr>
              <w:t>For HARQ feedback in groupcast and unicast, when PSFCH resource is (pre-)configured in the resource pool,</w:t>
            </w:r>
          </w:p>
          <w:p w:rsidR="000F734B" w:rsidRDefault="00181331">
            <w:pPr>
              <w:pStyle w:val="LGTdoc"/>
              <w:numPr>
                <w:ilvl w:val="1"/>
                <w:numId w:val="11"/>
              </w:numPr>
              <w:spacing w:before="120" w:beforeAutospacing="1" w:afterLines="0" w:after="60"/>
              <w:rPr>
                <w:rFonts w:asciiTheme="minorHAnsi"/>
                <w:sz w:val="20"/>
              </w:rPr>
            </w:pPr>
            <w:r>
              <w:rPr>
                <w:rFonts w:asciiTheme="minorHAnsi"/>
                <w:sz w:val="20"/>
              </w:rPr>
              <w:t>SCI explicitly indicates whether HARQ feedback is used or not for the corresponding PSSCH transmission.</w:t>
            </w:r>
          </w:p>
          <w:p w:rsidR="000F734B" w:rsidRDefault="00181331">
            <w:pPr>
              <w:spacing w:before="120" w:after="120"/>
              <w:rPr>
                <w:rFonts w:asciiTheme="minorHAnsi"/>
                <w:sz w:val="20"/>
                <w:highlight w:val="darkYellow"/>
              </w:rPr>
            </w:pPr>
            <w:r>
              <w:rPr>
                <w:rFonts w:asciiTheme="minorHAnsi"/>
                <w:sz w:val="20"/>
                <w:highlight w:val="darkYellow"/>
              </w:rPr>
              <w:t>Working assumption: [98b-NR-</w:t>
            </w:r>
            <w:r>
              <w:rPr>
                <w:rFonts w:asciiTheme="minorHAnsi" w:hint="eastAsia"/>
                <w:sz w:val="20"/>
                <w:highlight w:val="darkYellow"/>
              </w:rPr>
              <w:t>19</w:t>
            </w:r>
            <w:r>
              <w:rPr>
                <w:rFonts w:asciiTheme="minorHAnsi"/>
                <w:sz w:val="20"/>
                <w:highlight w:val="darkYellow"/>
              </w:rPr>
              <w:t>]</w:t>
            </w:r>
          </w:p>
          <w:p w:rsidR="000F734B" w:rsidRDefault="00181331">
            <w:pPr>
              <w:pStyle w:val="LGTdoc"/>
              <w:numPr>
                <w:ilvl w:val="0"/>
                <w:numId w:val="10"/>
              </w:numPr>
              <w:spacing w:before="120" w:beforeAutospacing="1" w:afterLines="0" w:after="60"/>
              <w:rPr>
                <w:rFonts w:asciiTheme="minorHAnsi" w:hAnsi="Calibri" w:cs="Calibri"/>
                <w:sz w:val="20"/>
              </w:rPr>
            </w:pPr>
            <w:r>
              <w:rPr>
                <w:rFonts w:asciiTheme="minorHAnsi" w:hAnsi="Calibri" w:cs="Calibri"/>
                <w:sz w:val="20"/>
              </w:rPr>
              <w:t xml:space="preserve">A single value of K is (pre-)configured in a resource pool. </w:t>
            </w:r>
          </w:p>
          <w:p w:rsidR="000F734B" w:rsidRDefault="00181331">
            <w:pPr>
              <w:pStyle w:val="LGTdoc"/>
              <w:numPr>
                <w:ilvl w:val="1"/>
                <w:numId w:val="10"/>
              </w:numPr>
              <w:spacing w:before="120" w:beforeAutospacing="1" w:afterLines="0" w:after="60"/>
              <w:rPr>
                <w:rFonts w:asciiTheme="minorHAnsi"/>
                <w:sz w:val="20"/>
              </w:rPr>
            </w:pPr>
            <w:r>
              <w:rPr>
                <w:rFonts w:asciiTheme="minorHAnsi" w:hAnsi="Calibri" w:cs="Calibri"/>
                <w:sz w:val="20"/>
              </w:rPr>
              <w:t>K=3 is supported in addition to K=2.</w:t>
            </w:r>
          </w:p>
          <w:p w:rsidR="000F734B" w:rsidRDefault="00181331">
            <w:pPr>
              <w:spacing w:before="120" w:after="120"/>
              <w:rPr>
                <w:rFonts w:asciiTheme="minorHAnsi"/>
                <w:sz w:val="20"/>
                <w:highlight w:val="green"/>
              </w:rPr>
            </w:pPr>
            <w:r>
              <w:rPr>
                <w:rFonts w:asciiTheme="minorHAnsi" w:hint="eastAsia"/>
                <w:sz w:val="20"/>
                <w:highlight w:val="green"/>
              </w:rPr>
              <w:t>Agreements:[98b-NR-20]</w:t>
            </w:r>
          </w:p>
          <w:p w:rsidR="000F734B" w:rsidRDefault="00181331">
            <w:pPr>
              <w:pStyle w:val="LGTdoc"/>
              <w:numPr>
                <w:ilvl w:val="0"/>
                <w:numId w:val="10"/>
              </w:numPr>
              <w:spacing w:before="120" w:beforeAutospacing="1" w:afterLines="0" w:after="60"/>
            </w:pPr>
            <w:r>
              <w:rPr>
                <w:rFonts w:asciiTheme="minorHAnsi" w:hint="eastAsia"/>
                <w:sz w:val="20"/>
              </w:rPr>
              <w:t>For groupcast HARQ feedback, SCI explicitly indicates either Option 1 or Option 2 is to be used.</w:t>
            </w:r>
          </w:p>
          <w:p w:rsidR="000F734B" w:rsidRDefault="00181331">
            <w:pPr>
              <w:spacing w:before="120" w:after="120"/>
              <w:rPr>
                <w:rFonts w:asciiTheme="minorHAnsi"/>
                <w:sz w:val="20"/>
                <w:highlight w:val="green"/>
              </w:rPr>
            </w:pPr>
            <w:r>
              <w:rPr>
                <w:rFonts w:asciiTheme="minorHAnsi" w:hint="eastAsia"/>
                <w:sz w:val="20"/>
                <w:highlight w:val="green"/>
              </w:rPr>
              <w:t>Agreements:[98b-NR-21]</w:t>
            </w:r>
          </w:p>
          <w:p w:rsidR="000F734B" w:rsidRDefault="00181331">
            <w:pPr>
              <w:pStyle w:val="LGTdoc"/>
              <w:numPr>
                <w:ilvl w:val="0"/>
                <w:numId w:val="10"/>
              </w:numPr>
              <w:spacing w:before="120" w:beforeAutospacing="1" w:afterLines="0" w:after="60"/>
              <w:rPr>
                <w:rFonts w:asciiTheme="minorHAnsi"/>
                <w:sz w:val="20"/>
              </w:rPr>
            </w:pPr>
            <w:r>
              <w:rPr>
                <w:rFonts w:asciiTheme="minorHAnsi" w:hint="eastAsia"/>
                <w:sz w:val="20"/>
              </w:rPr>
              <w:t>For implicit mechanism for PSFCH resource determination,</w:t>
            </w:r>
          </w:p>
          <w:p w:rsidR="000F734B" w:rsidRDefault="00181331">
            <w:pPr>
              <w:pStyle w:val="LGTdoc"/>
              <w:numPr>
                <w:ilvl w:val="1"/>
                <w:numId w:val="11"/>
              </w:numPr>
              <w:spacing w:before="120" w:beforeAutospacing="1" w:afterLines="0" w:after="60"/>
              <w:rPr>
                <w:rFonts w:asciiTheme="minorHAnsi"/>
                <w:sz w:val="20"/>
              </w:rPr>
            </w:pPr>
            <w:r>
              <w:rPr>
                <w:rFonts w:asciiTheme="minorHAnsi" w:hint="eastAsia"/>
                <w:sz w:val="20"/>
              </w:rPr>
              <w:t>Support FDM between PSFCH resources used for HARQ feedback of PSSCH transmissions with same starting sub-channel in different slots</w:t>
            </w:r>
          </w:p>
          <w:p w:rsidR="000F734B" w:rsidRDefault="00181331">
            <w:pPr>
              <w:pStyle w:val="LGTdoc"/>
              <w:numPr>
                <w:ilvl w:val="0"/>
                <w:numId w:val="10"/>
              </w:numPr>
              <w:spacing w:before="120" w:beforeAutospacing="1" w:afterLines="0" w:after="60"/>
              <w:rPr>
                <w:rFonts w:asciiTheme="minorHAnsi"/>
                <w:sz w:val="20"/>
              </w:rPr>
            </w:pPr>
            <w:r>
              <w:rPr>
                <w:rFonts w:asciiTheme="minorHAnsi" w:hint="eastAsia"/>
                <w:sz w:val="20"/>
              </w:rPr>
              <w:t>For implicit mechanism for PSFCH resource determination,</w:t>
            </w:r>
          </w:p>
          <w:p w:rsidR="000F734B" w:rsidRDefault="00181331">
            <w:pPr>
              <w:pStyle w:val="LGTdoc"/>
              <w:numPr>
                <w:ilvl w:val="1"/>
                <w:numId w:val="11"/>
              </w:numPr>
              <w:spacing w:before="120" w:beforeAutospacing="1" w:afterLines="0" w:after="60"/>
              <w:rPr>
                <w:rFonts w:asciiTheme="minorHAnsi"/>
                <w:sz w:val="20"/>
              </w:rPr>
            </w:pPr>
            <w:r>
              <w:rPr>
                <w:rFonts w:asciiTheme="minorHAnsi" w:hint="eastAsia"/>
                <w:sz w:val="20"/>
              </w:rPr>
              <w:t>In a resource pool, one or multiple PSFCH candidate resources are determined from the starting sub-channel index and slot index used for the corresponding PSSCH</w:t>
            </w:r>
          </w:p>
          <w:p w:rsidR="000F734B" w:rsidRDefault="00181331">
            <w:pPr>
              <w:pStyle w:val="LGTdoc"/>
              <w:numPr>
                <w:ilvl w:val="2"/>
                <w:numId w:val="8"/>
              </w:numPr>
              <w:spacing w:before="120" w:beforeAutospacing="1" w:afterLines="0" w:after="60"/>
              <w:rPr>
                <w:rFonts w:asciiTheme="minorHAnsi"/>
                <w:sz w:val="20"/>
              </w:rPr>
            </w:pPr>
            <w:r>
              <w:rPr>
                <w:rFonts w:asciiTheme="minorHAnsi" w:hint="eastAsia"/>
                <w:sz w:val="20"/>
              </w:rPr>
              <w:t>Within the determined PSFCH candidate resources, PSFCH resource for actual transmission is selected based on at least the following parameters</w:t>
            </w:r>
          </w:p>
          <w:p w:rsidR="000F734B" w:rsidRDefault="00181331">
            <w:pPr>
              <w:pStyle w:val="LGTdoc"/>
              <w:numPr>
                <w:ilvl w:val="3"/>
                <w:numId w:val="7"/>
              </w:numPr>
              <w:spacing w:before="120" w:beforeAutospacing="1" w:afterLines="0" w:after="60"/>
              <w:rPr>
                <w:rFonts w:asciiTheme="minorHAnsi"/>
                <w:sz w:val="20"/>
              </w:rPr>
            </w:pPr>
            <w:r>
              <w:rPr>
                <w:rFonts w:asciiTheme="minorHAnsi" w:hint="eastAsia"/>
                <w:sz w:val="20"/>
              </w:rPr>
              <w:t>For unicast and groupcast HARQ feedback Option 1,</w:t>
            </w:r>
          </w:p>
          <w:p w:rsidR="000F734B" w:rsidRDefault="00181331">
            <w:pPr>
              <w:pStyle w:val="LGTdoc"/>
              <w:numPr>
                <w:ilvl w:val="0"/>
                <w:numId w:val="12"/>
              </w:numPr>
              <w:spacing w:before="120" w:beforeAutospacing="1" w:afterLines="0" w:after="60"/>
              <w:rPr>
                <w:rFonts w:asciiTheme="minorHAnsi"/>
                <w:sz w:val="20"/>
              </w:rPr>
            </w:pPr>
            <w:r>
              <w:rPr>
                <w:rFonts w:asciiTheme="minorHAnsi" w:hint="eastAsia"/>
                <w:sz w:val="20"/>
              </w:rPr>
              <w:t>FFS: L1-source ID (i.e., the ID of TX UE) indicated by SCI</w:t>
            </w:r>
          </w:p>
          <w:p w:rsidR="000F734B" w:rsidRDefault="00181331">
            <w:pPr>
              <w:pStyle w:val="LGTdoc"/>
              <w:numPr>
                <w:ilvl w:val="3"/>
                <w:numId w:val="7"/>
              </w:numPr>
              <w:spacing w:before="120" w:beforeAutospacing="1" w:afterLines="0" w:after="60"/>
              <w:rPr>
                <w:rFonts w:asciiTheme="minorHAnsi"/>
                <w:sz w:val="20"/>
              </w:rPr>
            </w:pPr>
            <w:r>
              <w:rPr>
                <w:rFonts w:asciiTheme="minorHAnsi" w:hint="eastAsia"/>
                <w:sz w:val="20"/>
              </w:rPr>
              <w:t>For groupcast HARQ feedback Option 2,</w:t>
            </w:r>
          </w:p>
          <w:p w:rsidR="000F734B" w:rsidRDefault="00181331">
            <w:pPr>
              <w:pStyle w:val="LGTdoc"/>
              <w:numPr>
                <w:ilvl w:val="0"/>
                <w:numId w:val="12"/>
              </w:numPr>
              <w:spacing w:before="120" w:beforeAutospacing="1" w:afterLines="0" w:after="60"/>
              <w:ind w:left="3360" w:hanging="525"/>
              <w:rPr>
                <w:rFonts w:asciiTheme="minorHAnsi"/>
                <w:sz w:val="20"/>
              </w:rPr>
            </w:pPr>
            <w:r>
              <w:rPr>
                <w:rFonts w:asciiTheme="minorHAnsi" w:hint="eastAsia"/>
                <w:sz w:val="20"/>
              </w:rPr>
              <w:lastRenderedPageBreak/>
              <w:t xml:space="preserve">member ID (i.e., the </w:t>
            </w:r>
            <w:r>
              <w:rPr>
                <w:rFonts w:asciiTheme="minorHAnsi" w:hint="eastAsia"/>
                <w:sz w:val="20"/>
              </w:rPr>
              <w:t>“</w:t>
            </w:r>
            <w:r>
              <w:rPr>
                <w:rFonts w:asciiTheme="minorHAnsi" w:hint="eastAsia"/>
                <w:sz w:val="20"/>
              </w:rPr>
              <w:t>identifier</w:t>
            </w:r>
            <w:r>
              <w:rPr>
                <w:rFonts w:asciiTheme="minorHAnsi" w:hint="eastAsia"/>
                <w:sz w:val="20"/>
              </w:rPr>
              <w:t>”</w:t>
            </w:r>
            <w:r>
              <w:rPr>
                <w:rFonts w:asciiTheme="minorHAnsi" w:hint="eastAsia"/>
                <w:sz w:val="20"/>
              </w:rPr>
              <w:t xml:space="preserve"> agreed in RAN1#97 to distinguish each RX UE in a group for Option 2 groupcast HARQ feedback)</w:t>
            </w:r>
          </w:p>
          <w:p w:rsidR="000F734B" w:rsidRDefault="00181331">
            <w:pPr>
              <w:pStyle w:val="LGTdoc"/>
              <w:numPr>
                <w:ilvl w:val="0"/>
                <w:numId w:val="12"/>
              </w:numPr>
              <w:spacing w:before="120" w:beforeAutospacing="1" w:afterLines="0" w:after="60"/>
              <w:ind w:left="3360" w:hanging="525"/>
              <w:rPr>
                <w:rFonts w:asciiTheme="minorHAnsi"/>
                <w:sz w:val="20"/>
              </w:rPr>
            </w:pPr>
            <w:r>
              <w:rPr>
                <w:rFonts w:asciiTheme="minorHAnsi" w:hint="eastAsia"/>
                <w:sz w:val="20"/>
              </w:rPr>
              <w:t>FFS: L1-source ID (i.e., the ID of TX UE) indicated by SCI</w:t>
            </w:r>
          </w:p>
          <w:p w:rsidR="000F734B" w:rsidRDefault="00181331">
            <w:pPr>
              <w:pStyle w:val="LGTdoc"/>
              <w:numPr>
                <w:ilvl w:val="0"/>
                <w:numId w:val="10"/>
              </w:numPr>
              <w:spacing w:before="120" w:beforeAutospacing="1" w:afterLines="0" w:after="60"/>
              <w:rPr>
                <w:rFonts w:asciiTheme="minorHAnsi"/>
                <w:sz w:val="20"/>
              </w:rPr>
            </w:pPr>
            <w:r>
              <w:rPr>
                <w:rFonts w:asciiTheme="minorHAnsi" w:hint="eastAsia"/>
                <w:sz w:val="20"/>
              </w:rPr>
              <w:t>For a PSFCH format,</w:t>
            </w:r>
          </w:p>
          <w:p w:rsidR="000F734B" w:rsidRDefault="00181331">
            <w:pPr>
              <w:pStyle w:val="LGTdoc"/>
              <w:numPr>
                <w:ilvl w:val="1"/>
                <w:numId w:val="11"/>
              </w:numPr>
              <w:spacing w:before="120" w:beforeAutospacing="1" w:afterLines="0" w:after="60"/>
              <w:rPr>
                <w:rFonts w:asciiTheme="minorHAnsi"/>
                <w:sz w:val="20"/>
              </w:rPr>
            </w:pPr>
            <w:r>
              <w:rPr>
                <w:rFonts w:asciiTheme="minorHAnsi" w:hint="eastAsia"/>
                <w:sz w:val="20"/>
              </w:rPr>
              <w:t>In the symbols that can be used for PSFCH transmissions in a resource pool, a set of frequency resources is (pre-)configured for the actual use of PSFCH transmissions (i.e., PSFCH transmissions do not happen in other frequency resources).</w:t>
            </w:r>
          </w:p>
          <w:p w:rsidR="000F734B" w:rsidRDefault="00181331">
            <w:pPr>
              <w:pStyle w:val="LGTdoc"/>
              <w:numPr>
                <w:ilvl w:val="2"/>
                <w:numId w:val="8"/>
              </w:numPr>
              <w:spacing w:before="120" w:beforeAutospacing="1" w:afterLines="0" w:after="60"/>
            </w:pPr>
            <w:r>
              <w:rPr>
                <w:rFonts w:asciiTheme="minorHAnsi" w:hint="eastAsia"/>
                <w:sz w:val="20"/>
              </w:rPr>
              <w:t>This (pre)configuration includes the case where all the frequency resources in a resource pool are available for the actual PSFCH transmission.</w:t>
            </w:r>
          </w:p>
        </w:tc>
      </w:tr>
    </w:tbl>
    <w:p w:rsidR="000F734B" w:rsidRDefault="00181331">
      <w:pPr>
        <w:spacing w:before="120" w:after="120"/>
        <w:rPr>
          <w:sz w:val="20"/>
        </w:rPr>
      </w:pPr>
      <w:r>
        <w:rPr>
          <w:rFonts w:hint="eastAsia"/>
          <w:sz w:val="20"/>
        </w:rPr>
        <w:lastRenderedPageBreak/>
        <w:t>In this contribution, we will further discuss these procedures, especially for the remaining FFS points.</w:t>
      </w:r>
    </w:p>
    <w:p w:rsidR="000F734B" w:rsidRDefault="00181331">
      <w:pPr>
        <w:pStyle w:val="Heading1"/>
        <w:spacing w:before="120" w:after="120"/>
        <w:ind w:left="0"/>
      </w:pPr>
      <w:r>
        <w:rPr>
          <w:rFonts w:hint="eastAsia"/>
        </w:rPr>
        <w:t xml:space="preserve">HARQ procedure </w:t>
      </w:r>
    </w:p>
    <w:p w:rsidR="000F734B" w:rsidRDefault="00181331">
      <w:pPr>
        <w:pStyle w:val="Heading2"/>
        <w:spacing w:before="120" w:after="120"/>
        <w:ind w:left="991" w:right="210" w:hangingChars="354" w:hanging="991"/>
      </w:pPr>
      <w:r>
        <w:rPr>
          <w:rFonts w:hint="eastAsia"/>
        </w:rPr>
        <w:t>HARQ combination and layer 1 IDs</w:t>
      </w:r>
    </w:p>
    <w:p w:rsidR="000F734B" w:rsidRDefault="00181331">
      <w:pPr>
        <w:snapToGrid w:val="0"/>
        <w:spacing w:before="120" w:after="120"/>
        <w:rPr>
          <w:sz w:val="20"/>
        </w:rPr>
      </w:pPr>
      <w:r>
        <w:rPr>
          <w:rFonts w:hint="eastAsia"/>
          <w:sz w:val="20"/>
        </w:rPr>
        <w:t xml:space="preserve">One of the remaining question for Layer-1 IDs is </w:t>
      </w:r>
      <w:r>
        <w:rPr>
          <w:sz w:val="20"/>
        </w:rPr>
        <w:t xml:space="preserve">whether </w:t>
      </w:r>
      <w:r>
        <w:rPr>
          <w:rFonts w:hint="eastAsia"/>
          <w:sz w:val="20"/>
        </w:rPr>
        <w:t xml:space="preserve">some of the layer 1 IDs and HARQ information </w:t>
      </w:r>
      <w:r>
        <w:rPr>
          <w:sz w:val="20"/>
        </w:rPr>
        <w:t>may not be present</w:t>
      </w:r>
      <w:r>
        <w:rPr>
          <w:rFonts w:hint="eastAsia"/>
          <w:sz w:val="20"/>
        </w:rPr>
        <w:t xml:space="preserve"> depending on </w:t>
      </w:r>
      <w:r>
        <w:rPr>
          <w:sz w:val="20"/>
        </w:rPr>
        <w:t>cast type (</w:t>
      </w:r>
      <w:r>
        <w:rPr>
          <w:rFonts w:hint="eastAsia"/>
          <w:sz w:val="20"/>
        </w:rPr>
        <w:t>unicast, groupcast and broadcast</w:t>
      </w:r>
      <w:r>
        <w:rPr>
          <w:sz w:val="20"/>
        </w:rPr>
        <w:t>)</w:t>
      </w:r>
      <w:r>
        <w:rPr>
          <w:rFonts w:hint="eastAsia"/>
          <w:sz w:val="20"/>
        </w:rPr>
        <w:t xml:space="preserve">. For Layer-1 destination ID, it is useful for filtering the unintended packet in physical layer, so we prefer </w:t>
      </w:r>
      <w:r>
        <w:rPr>
          <w:sz w:val="20"/>
        </w:rPr>
        <w:t xml:space="preserve">to </w:t>
      </w:r>
      <w:r>
        <w:rPr>
          <w:rFonts w:hint="eastAsia"/>
          <w:sz w:val="20"/>
        </w:rPr>
        <w:t>always include layer-1 destination ID in SCI. For the additional IDs/information, the main purpose of including HARQ process ID, RV, NDI and L1 source ID is for HARQ combination, and HARQ combination is</w:t>
      </w:r>
      <w:r>
        <w:rPr>
          <w:sz w:val="20"/>
        </w:rPr>
        <w:t xml:space="preserve"> also </w:t>
      </w:r>
      <w:r>
        <w:rPr>
          <w:rFonts w:hint="eastAsia"/>
          <w:sz w:val="20"/>
        </w:rPr>
        <w:t>benefic</w:t>
      </w:r>
      <w:r>
        <w:rPr>
          <w:sz w:val="20"/>
        </w:rPr>
        <w:t>ial for broadcast transmission</w:t>
      </w:r>
      <w:r>
        <w:rPr>
          <w:rFonts w:hint="eastAsia"/>
          <w:sz w:val="20"/>
        </w:rPr>
        <w:t>. As the agreements of past meetings, it can be seen that flexible TB retransmission should be supported in Rel-16, e.g., flexible number of HARQ retransmission and flexible time/frequency domain relationship between the retransmission resources. And the additional IDs/information</w:t>
      </w:r>
      <w:r>
        <w:rPr>
          <w:sz w:val="20"/>
        </w:rPr>
        <w:t xml:space="preserve"> can be included to support</w:t>
      </w:r>
      <w:r>
        <w:rPr>
          <w:rFonts w:hint="eastAsia"/>
          <w:sz w:val="20"/>
        </w:rPr>
        <w:t xml:space="preserve"> HARQ combination </w:t>
      </w:r>
      <w:r>
        <w:rPr>
          <w:sz w:val="20"/>
        </w:rPr>
        <w:t xml:space="preserve">for </w:t>
      </w:r>
      <w:r>
        <w:rPr>
          <w:rFonts w:hint="eastAsia"/>
          <w:sz w:val="20"/>
        </w:rPr>
        <w:t xml:space="preserve">such </w:t>
      </w:r>
      <w:r>
        <w:rPr>
          <w:sz w:val="20"/>
        </w:rPr>
        <w:t>flexibility</w:t>
      </w:r>
      <w:r>
        <w:rPr>
          <w:rFonts w:hint="eastAsia"/>
          <w:sz w:val="20"/>
        </w:rPr>
        <w:t>, and this could be applied and beneficial for all the cast-types.</w:t>
      </w:r>
    </w:p>
    <w:p w:rsidR="000F734B" w:rsidRDefault="00181331">
      <w:pPr>
        <w:pStyle w:val="YJ-Proposal"/>
        <w:spacing w:before="120" w:after="120"/>
        <w:rPr>
          <w:szCs w:val="28"/>
        </w:rPr>
      </w:pPr>
      <w:bookmarkStart w:id="0" w:name="_Toc20610360"/>
      <w:bookmarkStart w:id="1" w:name="_Toc20583"/>
      <w:bookmarkStart w:id="2" w:name="_Toc19300"/>
      <w:bookmarkStart w:id="3" w:name="_Toc24078489"/>
      <w:bookmarkStart w:id="4" w:name="_Toc24125794"/>
      <w:bookmarkStart w:id="5" w:name="_Toc24126840"/>
      <w:r>
        <w:rPr>
          <w:rFonts w:eastAsia="SimSun" w:hint="eastAsia"/>
          <w:lang w:val="en-US" w:eastAsia="zh-CN"/>
        </w:rPr>
        <w:t>To support HARQ combination for broadcast, groupcast and unicast, L1 destination ID, HARQ process ID, RV, NDI and L1 source ID are always present in SCI.</w:t>
      </w:r>
      <w:bookmarkEnd w:id="0"/>
      <w:bookmarkEnd w:id="1"/>
      <w:bookmarkEnd w:id="2"/>
      <w:bookmarkEnd w:id="3"/>
      <w:bookmarkEnd w:id="4"/>
      <w:bookmarkEnd w:id="5"/>
    </w:p>
    <w:p w:rsidR="000F734B" w:rsidRDefault="00181331">
      <w:pPr>
        <w:snapToGrid w:val="0"/>
        <w:spacing w:before="120" w:after="120"/>
        <w:rPr>
          <w:sz w:val="20"/>
        </w:rPr>
      </w:pPr>
      <w:r>
        <w:rPr>
          <w:rFonts w:hint="eastAsia"/>
          <w:sz w:val="20"/>
        </w:rPr>
        <w:t>For how to convey layer 1 IDs in SCI, one of the alternative is that the L1 source ID could be scrambled in the CRC of 2</w:t>
      </w:r>
      <w:r>
        <w:rPr>
          <w:rFonts w:hint="eastAsia"/>
          <w:sz w:val="20"/>
          <w:vertAlign w:val="superscript"/>
        </w:rPr>
        <w:t>nd</w:t>
      </w:r>
      <w:r>
        <w:rPr>
          <w:rFonts w:hint="eastAsia"/>
          <w:sz w:val="20"/>
        </w:rPr>
        <w:t>-stage SCI to save the signaling overhead. But we do not prefer such solution based on the following grounds:</w:t>
      </w:r>
    </w:p>
    <w:p w:rsidR="000F734B" w:rsidRDefault="00491F56">
      <w:pPr>
        <w:pStyle w:val="ListParagraph"/>
        <w:numPr>
          <w:ilvl w:val="0"/>
          <w:numId w:val="13"/>
        </w:numPr>
        <w:snapToGrid w:val="0"/>
        <w:spacing w:before="120" w:after="120"/>
        <w:rPr>
          <w:sz w:val="20"/>
        </w:rPr>
      </w:pPr>
      <w:r>
        <w:rPr>
          <w:sz w:val="20"/>
        </w:rPr>
        <w:t>Higher</w:t>
      </w:r>
      <w:r w:rsidR="00181331">
        <w:rPr>
          <w:rFonts w:hint="eastAsia"/>
          <w:sz w:val="20"/>
        </w:rPr>
        <w:t xml:space="preserve"> blind decoding effort, especially for broadcast and groupcast transmission.</w:t>
      </w:r>
    </w:p>
    <w:p w:rsidR="000F734B" w:rsidRDefault="00491F56">
      <w:pPr>
        <w:pStyle w:val="ListParagraph"/>
        <w:numPr>
          <w:ilvl w:val="0"/>
          <w:numId w:val="13"/>
        </w:numPr>
        <w:snapToGrid w:val="0"/>
        <w:spacing w:before="120" w:after="120"/>
        <w:rPr>
          <w:sz w:val="20"/>
        </w:rPr>
      </w:pPr>
      <w:r>
        <w:rPr>
          <w:sz w:val="20"/>
        </w:rPr>
        <w:t>T</w:t>
      </w:r>
      <w:r w:rsidR="00181331">
        <w:rPr>
          <w:rFonts w:hint="eastAsia"/>
          <w:sz w:val="20"/>
        </w:rPr>
        <w:t xml:space="preserve">his is not aligned with the conclusion of two-stage SCI made at RAN1#97 meeting which is </w:t>
      </w:r>
      <w:r w:rsidR="00181331">
        <w:rPr>
          <w:sz w:val="20"/>
        </w:rPr>
        <w:t>“</w:t>
      </w:r>
      <w:r w:rsidR="00181331">
        <w:rPr>
          <w:rFonts w:hint="eastAsia"/>
          <w:sz w:val="20"/>
        </w:rPr>
        <w:t>a</w:t>
      </w:r>
      <w:r w:rsidR="00181331">
        <w:rPr>
          <w:sz w:val="20"/>
        </w:rPr>
        <w:t>fter decoding the 1st-stage, the receiver does not need to perform blind decoding of 2nd-stage”</w:t>
      </w:r>
      <w:r w:rsidR="00181331">
        <w:rPr>
          <w:rFonts w:hint="eastAsia"/>
          <w:sz w:val="20"/>
        </w:rPr>
        <w:t xml:space="preserve"> </w:t>
      </w:r>
    </w:p>
    <w:p w:rsidR="000F734B" w:rsidRDefault="00181331">
      <w:pPr>
        <w:pStyle w:val="YJ-Proposal"/>
        <w:spacing w:before="120" w:after="120"/>
      </w:pPr>
      <w:bookmarkStart w:id="6" w:name="_Toc10054"/>
      <w:bookmarkStart w:id="7" w:name="_Toc20610361"/>
      <w:bookmarkStart w:id="8" w:name="_Toc9480"/>
      <w:bookmarkStart w:id="9" w:name="_Toc24078490"/>
      <w:bookmarkStart w:id="10" w:name="_Toc24125795"/>
      <w:bookmarkStart w:id="11" w:name="_Toc24126841"/>
      <w:r>
        <w:rPr>
          <w:rFonts w:eastAsia="SimSun" w:hint="eastAsia"/>
          <w:lang w:val="en-US" w:eastAsia="zh-CN"/>
        </w:rPr>
        <w:t>L1 source ID should b</w:t>
      </w:r>
      <w:r w:rsidR="00D70142">
        <w:rPr>
          <w:rFonts w:eastAsia="SimSun" w:hint="eastAsia"/>
          <w:lang w:val="en-US" w:eastAsia="zh-CN"/>
        </w:rPr>
        <w:t>e conveyed in SCI contents rather</w:t>
      </w:r>
      <w:r>
        <w:rPr>
          <w:rFonts w:eastAsia="SimSun" w:hint="eastAsia"/>
          <w:lang w:val="en-US" w:eastAsia="zh-CN"/>
        </w:rPr>
        <w:t xml:space="preserve"> than </w:t>
      </w:r>
      <w:r w:rsidR="00D70142">
        <w:rPr>
          <w:rFonts w:eastAsia="SimSun"/>
          <w:lang w:val="en-US" w:eastAsia="zh-CN"/>
        </w:rPr>
        <w:t xml:space="preserve">being </w:t>
      </w:r>
      <w:r w:rsidR="00D70142">
        <w:rPr>
          <w:rFonts w:eastAsia="SimSun" w:hint="eastAsia"/>
          <w:lang w:val="en-US" w:eastAsia="zh-CN"/>
        </w:rPr>
        <w:t>scrambled in CRC</w:t>
      </w:r>
      <w:r>
        <w:rPr>
          <w:rFonts w:eastAsia="SimSun" w:hint="eastAsia"/>
          <w:lang w:val="en-US" w:eastAsia="zh-CN"/>
        </w:rPr>
        <w:t>.</w:t>
      </w:r>
      <w:bookmarkEnd w:id="6"/>
      <w:bookmarkEnd w:id="7"/>
      <w:bookmarkEnd w:id="8"/>
      <w:bookmarkEnd w:id="9"/>
      <w:bookmarkEnd w:id="10"/>
      <w:bookmarkEnd w:id="11"/>
    </w:p>
    <w:p w:rsidR="000F734B" w:rsidRDefault="00181331">
      <w:pPr>
        <w:pStyle w:val="Heading2"/>
        <w:spacing w:before="120" w:after="120"/>
        <w:ind w:left="991" w:right="210" w:hangingChars="354" w:hanging="991"/>
        <w:rPr>
          <w:szCs w:val="28"/>
        </w:rPr>
      </w:pPr>
      <w:r>
        <w:rPr>
          <w:rFonts w:hint="eastAsia"/>
          <w:szCs w:val="28"/>
        </w:rPr>
        <w:t xml:space="preserve">PSFCH resource </w:t>
      </w:r>
      <w:r>
        <w:rPr>
          <w:rFonts w:eastAsia="SimSun" w:hint="eastAsia"/>
          <w:szCs w:val="28"/>
        </w:rPr>
        <w:t>mapping</w:t>
      </w:r>
    </w:p>
    <w:p w:rsidR="000F734B" w:rsidRDefault="00181331">
      <w:pPr>
        <w:spacing w:before="120" w:after="120"/>
        <w:rPr>
          <w:sz w:val="20"/>
        </w:rPr>
      </w:pPr>
      <w:r>
        <w:rPr>
          <w:rFonts w:hint="eastAsia"/>
          <w:sz w:val="20"/>
        </w:rPr>
        <w:t>For frequency/code domain PSSCH-to-PSFCH mapping, the details are discussed in [98b-NR-21]. Base</w:t>
      </w:r>
      <w:r>
        <w:rPr>
          <w:sz w:val="20"/>
        </w:rPr>
        <w:t>d</w:t>
      </w:r>
      <w:r>
        <w:rPr>
          <w:rFonts w:hint="eastAsia"/>
          <w:sz w:val="20"/>
        </w:rPr>
        <w:t xml:space="preserve"> on the email discussion, it could be observed that the PSFCH resources of the PSSCH subchannels on several PSSCH slot would multiplex in the same slot. As outcome of the email discussion, it is agreed that FDM between PSFCH resources used for HARQ feedback of PSSCH transmissions with same starting sub-channel in different slots is supported. And since CDM based mechanism would have more serious near-far problem, we prefer to only support FDM based PSFCH multiplexing. </w:t>
      </w:r>
    </w:p>
    <w:p w:rsidR="000F734B" w:rsidRDefault="00D70142">
      <w:pPr>
        <w:pStyle w:val="YJ-Proposal"/>
        <w:spacing w:before="120" w:after="120"/>
      </w:pPr>
      <w:bookmarkStart w:id="12" w:name="_Toc16888"/>
      <w:bookmarkStart w:id="13" w:name="_Toc3095"/>
      <w:bookmarkStart w:id="14" w:name="_Toc24078491"/>
      <w:bookmarkStart w:id="15" w:name="_Toc24125796"/>
      <w:bookmarkStart w:id="16" w:name="_Toc24126842"/>
      <w:r>
        <w:rPr>
          <w:lang w:val="en-US"/>
        </w:rPr>
        <w:t xml:space="preserve">Rel-16 V2X does not support </w:t>
      </w:r>
      <w:r>
        <w:rPr>
          <w:rFonts w:hint="eastAsia"/>
        </w:rPr>
        <w:t>CDM-</w:t>
      </w:r>
      <w:r w:rsidR="00181331">
        <w:rPr>
          <w:rFonts w:hint="eastAsia"/>
        </w:rPr>
        <w:t xml:space="preserve">based </w:t>
      </w:r>
      <w:r w:rsidR="00181331">
        <w:rPr>
          <w:rFonts w:hint="eastAsia"/>
          <w:lang w:val="en-US" w:eastAsia="zh-CN"/>
        </w:rPr>
        <w:t>PSFCH multiplexing.</w:t>
      </w:r>
      <w:bookmarkEnd w:id="12"/>
      <w:bookmarkEnd w:id="13"/>
      <w:bookmarkEnd w:id="14"/>
      <w:bookmarkEnd w:id="15"/>
      <w:bookmarkEnd w:id="16"/>
    </w:p>
    <w:p w:rsidR="000F734B" w:rsidRDefault="00181331">
      <w:pPr>
        <w:spacing w:before="120" w:after="120"/>
        <w:rPr>
          <w:sz w:val="20"/>
        </w:rPr>
      </w:pPr>
      <w:r>
        <w:rPr>
          <w:rFonts w:hint="eastAsia"/>
          <w:sz w:val="20"/>
        </w:rPr>
        <w:t>And the details of PSSCH-to-PSFCH mapping method could be found in the example below:</w:t>
      </w:r>
    </w:p>
    <w:p w:rsidR="000F734B" w:rsidRDefault="00181331">
      <w:pPr>
        <w:numPr>
          <w:ilvl w:val="0"/>
          <w:numId w:val="14"/>
        </w:numPr>
        <w:spacing w:before="120" w:after="120"/>
        <w:rPr>
          <w:sz w:val="20"/>
        </w:rPr>
      </w:pPr>
      <w:r>
        <w:rPr>
          <w:rFonts w:hint="eastAsia"/>
          <w:sz w:val="20"/>
        </w:rPr>
        <w:lastRenderedPageBreak/>
        <w:t>The number of available PSFCH resources within a subchannel i on a slot that has PSFCH configured could be denoted as</w:t>
      </w:r>
      <w:r>
        <w:rPr>
          <w:rFonts w:hint="eastAsia"/>
          <w:position w:val="-12"/>
          <w:sz w:val="20"/>
        </w:rPr>
        <w:object w:dxaOrig="301" w:dyaOrig="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pt;height:17.85pt" o:ole="">
            <v:imagedata r:id="rId10" o:title=""/>
          </v:shape>
          <o:OLEObject Type="Embed" ProgID="Equation.3" ShapeID="_x0000_i1025" DrawAspect="Content" ObjectID="_1634739806" r:id="rId11"/>
        </w:object>
      </w:r>
      <w:r>
        <w:rPr>
          <w:rFonts w:hint="eastAsia"/>
          <w:sz w:val="20"/>
        </w:rPr>
        <w:t>, e.g., if all the frequency resources on subchannel i are availab</w:t>
      </w:r>
      <w:r w:rsidR="00491F56">
        <w:rPr>
          <w:rFonts w:hint="eastAsia"/>
          <w:sz w:val="20"/>
        </w:rPr>
        <w:t>le for PSFCH transmission. T</w:t>
      </w:r>
      <w:r>
        <w:rPr>
          <w:rFonts w:hint="eastAsia"/>
          <w:sz w:val="20"/>
        </w:rPr>
        <w:t xml:space="preserve">he number of separated PSFCH </w:t>
      </w:r>
      <w:r>
        <w:rPr>
          <w:rFonts w:hint="eastAsia"/>
          <w:position w:val="-12"/>
          <w:sz w:val="20"/>
        </w:rPr>
        <w:object w:dxaOrig="301" w:dyaOrig="365">
          <v:shape id="_x0000_i1026" type="#_x0000_t75" style="width:14.8pt;height:17.85pt" o:ole="">
            <v:imagedata r:id="rId10" o:title=""/>
          </v:shape>
          <o:OLEObject Type="Embed" ProgID="Equation.3" ShapeID="_x0000_i1026" DrawAspect="Content" ObjectID="_1634739807" r:id="rId12"/>
        </w:object>
      </w:r>
      <w:r>
        <w:rPr>
          <w:rFonts w:hint="eastAsia"/>
          <w:sz w:val="20"/>
        </w:rPr>
        <w:t xml:space="preserve"> within a subchannel i is equals to the size of a subchannel in unit of RB. </w:t>
      </w:r>
    </w:p>
    <w:p w:rsidR="000F734B" w:rsidRDefault="00181331">
      <w:pPr>
        <w:numPr>
          <w:ilvl w:val="0"/>
          <w:numId w:val="14"/>
        </w:numPr>
        <w:spacing w:before="120" w:after="120"/>
        <w:rPr>
          <w:sz w:val="20"/>
        </w:rPr>
      </w:pPr>
      <w:r>
        <w:rPr>
          <w:rFonts w:hint="eastAsia"/>
          <w:sz w:val="20"/>
        </w:rPr>
        <w:t xml:space="preserve">Assume that M slots will map to the same PSFCH resources in slot n, the combination of a subchannel i and these slots could be ordered in time domain </w:t>
      </w:r>
      <w:r w:rsidR="00491F56">
        <w:rPr>
          <w:sz w:val="20"/>
        </w:rPr>
        <w:t>as</w:t>
      </w:r>
      <w:r>
        <w:rPr>
          <w:rFonts w:hint="eastAsia"/>
          <w:position w:val="-14"/>
          <w:sz w:val="20"/>
        </w:rPr>
        <w:object w:dxaOrig="1408" w:dyaOrig="387">
          <v:shape id="_x0000_i1027" type="#_x0000_t75" style="width:70.45pt;height:19.4pt" o:ole="">
            <v:imagedata r:id="rId13" o:title=""/>
          </v:shape>
          <o:OLEObject Type="Embed" ProgID="Equation.3" ShapeID="_x0000_i1027" DrawAspect="Content" ObjectID="_1634739808" r:id="rId14"/>
        </w:object>
      </w:r>
      <w:r>
        <w:rPr>
          <w:rFonts w:hint="eastAsia"/>
          <w:sz w:val="20"/>
        </w:rPr>
        <w:t>.</w:t>
      </w:r>
    </w:p>
    <w:p w:rsidR="000F734B" w:rsidRDefault="00181331">
      <w:pPr>
        <w:numPr>
          <w:ilvl w:val="0"/>
          <w:numId w:val="14"/>
        </w:numPr>
        <w:spacing w:before="120" w:after="120"/>
        <w:rPr>
          <w:sz w:val="20"/>
        </w:rPr>
      </w:pPr>
      <w:r>
        <w:rPr>
          <w:rFonts w:hint="eastAsia"/>
          <w:sz w:val="20"/>
        </w:rPr>
        <w:t xml:space="preserve">So the total number of PSFCH in subchannel i </w:t>
      </w:r>
      <w:r>
        <w:rPr>
          <w:rFonts w:hint="eastAsia"/>
          <w:position w:val="-12"/>
          <w:sz w:val="20"/>
        </w:rPr>
        <w:object w:dxaOrig="301" w:dyaOrig="365">
          <v:shape id="_x0000_i1028" type="#_x0000_t75" style="width:14.8pt;height:17.85pt" o:ole="">
            <v:imagedata r:id="rId10" o:title=""/>
          </v:shape>
          <o:OLEObject Type="Embed" ProgID="Equation.3" ShapeID="_x0000_i1028" DrawAspect="Content" ObjectID="_1634739809" r:id="rId15"/>
        </w:object>
      </w:r>
      <w:r>
        <w:rPr>
          <w:rFonts w:hint="eastAsia"/>
          <w:sz w:val="20"/>
        </w:rPr>
        <w:t xml:space="preserve"> should be divided into M subgroup, </w:t>
      </w:r>
      <w:r>
        <w:rPr>
          <w:sz w:val="20"/>
        </w:rPr>
        <w:t>e.g.</w:t>
      </w:r>
      <w:r>
        <w:rPr>
          <w:rFonts w:hint="eastAsia"/>
          <w:sz w:val="20"/>
        </w:rPr>
        <w:t xml:space="preserve">, PSFCH resources within subchannel i could be divided into M subgroups in frequency domain. These PSFCH subgroups could be ordered in frequency domain as </w:t>
      </w:r>
      <w:r>
        <w:rPr>
          <w:rFonts w:hint="eastAsia"/>
          <w:position w:val="-14"/>
          <w:sz w:val="20"/>
        </w:rPr>
        <w:object w:dxaOrig="1537" w:dyaOrig="387">
          <v:shape id="_x0000_i1029" type="#_x0000_t75" style="width:76.6pt;height:19.4pt" o:ole="">
            <v:imagedata r:id="rId16" o:title=""/>
          </v:shape>
          <o:OLEObject Type="Embed" ProgID="Equation.3" ShapeID="_x0000_i1029" DrawAspect="Content" ObjectID="_1634739810" r:id="rId17"/>
        </w:object>
      </w:r>
      <w:r>
        <w:rPr>
          <w:rFonts w:hint="eastAsia"/>
          <w:sz w:val="20"/>
        </w:rPr>
        <w:t xml:space="preserve"> </w:t>
      </w:r>
    </w:p>
    <w:p w:rsidR="000F734B" w:rsidRDefault="00181331">
      <w:pPr>
        <w:numPr>
          <w:ilvl w:val="0"/>
          <w:numId w:val="14"/>
        </w:numPr>
        <w:spacing w:before="120" w:after="120"/>
        <w:rPr>
          <w:sz w:val="20"/>
        </w:rPr>
      </w:pPr>
      <w:r>
        <w:rPr>
          <w:sz w:val="20"/>
        </w:rPr>
        <w:t>A</w:t>
      </w:r>
      <w:r>
        <w:rPr>
          <w:rFonts w:hint="eastAsia"/>
          <w:sz w:val="20"/>
        </w:rPr>
        <w:t xml:space="preserve"> one-to-one mapping </w:t>
      </w:r>
      <w:r>
        <w:rPr>
          <w:sz w:val="20"/>
        </w:rPr>
        <w:t xml:space="preserve">can be established </w:t>
      </w:r>
      <w:r>
        <w:rPr>
          <w:rFonts w:hint="eastAsia"/>
          <w:sz w:val="20"/>
        </w:rPr>
        <w:t>between the PSFCH subgroups and the combinations of (slot m, subchannel i). F</w:t>
      </w:r>
      <w:r>
        <w:rPr>
          <w:sz w:val="20"/>
        </w:rPr>
        <w:t>or example</w:t>
      </w:r>
      <w:r>
        <w:rPr>
          <w:rFonts w:hint="eastAsia"/>
          <w:sz w:val="20"/>
        </w:rPr>
        <w:t xml:space="preserve">, the PSFCH resource subgroup of subchannel </w:t>
      </w:r>
      <w:r>
        <w:rPr>
          <w:rFonts w:hint="eastAsia"/>
          <w:position w:val="-14"/>
          <w:sz w:val="20"/>
        </w:rPr>
        <w:object w:dxaOrig="344" w:dyaOrig="387">
          <v:shape id="_x0000_i1030" type="#_x0000_t75" style="width:17.35pt;height:19.4pt" o:ole="">
            <v:imagedata r:id="rId18" o:title=""/>
          </v:shape>
          <o:OLEObject Type="Embed" ProgID="Equation.3" ShapeID="_x0000_i1030" DrawAspect="Content" ObjectID="_1634739811" r:id="rId19"/>
        </w:object>
      </w:r>
      <w:r>
        <w:rPr>
          <w:rFonts w:hint="eastAsia"/>
          <w:sz w:val="20"/>
        </w:rPr>
        <w:t>is</w:t>
      </w:r>
      <w:r>
        <w:rPr>
          <w:rFonts w:hint="eastAsia"/>
          <w:position w:val="-14"/>
          <w:sz w:val="20"/>
        </w:rPr>
        <w:object w:dxaOrig="408" w:dyaOrig="387">
          <v:shape id="_x0000_i1031" type="#_x0000_t75" style="width:20.45pt;height:19.4pt" o:ole="">
            <v:imagedata r:id="rId20" o:title=""/>
          </v:shape>
          <o:OLEObject Type="Embed" ProgID="Equation.3" ShapeID="_x0000_i1031" DrawAspect="Content" ObjectID="_1634739812" r:id="rId21"/>
        </w:object>
      </w:r>
      <w:r>
        <w:rPr>
          <w:rFonts w:hint="eastAsia"/>
          <w:sz w:val="20"/>
        </w:rPr>
        <w:t>, here</w:t>
      </w:r>
      <w:r>
        <w:rPr>
          <w:rFonts w:hint="eastAsia"/>
          <w:position w:val="-10"/>
          <w:sz w:val="20"/>
        </w:rPr>
        <w:object w:dxaOrig="1032" w:dyaOrig="301">
          <v:shape id="_x0000_i1032" type="#_x0000_t75" style="width:51.55pt;height:14.8pt" o:ole="">
            <v:imagedata r:id="rId22" o:title=""/>
          </v:shape>
          <o:OLEObject Type="Embed" ProgID="Equation.3" ShapeID="_x0000_i1032" DrawAspect="Content" ObjectID="_1634739813" r:id="rId23"/>
        </w:object>
      </w:r>
      <w:r>
        <w:rPr>
          <w:rFonts w:hint="eastAsia"/>
          <w:sz w:val="20"/>
        </w:rPr>
        <w:t>.</w:t>
      </w:r>
    </w:p>
    <w:p w:rsidR="000F734B" w:rsidRDefault="00181331">
      <w:pPr>
        <w:numPr>
          <w:ilvl w:val="0"/>
          <w:numId w:val="14"/>
        </w:numPr>
        <w:spacing w:before="120" w:after="120"/>
        <w:ind w:left="0" w:firstLine="0"/>
        <w:rPr>
          <w:sz w:val="20"/>
        </w:rPr>
      </w:pPr>
      <w:r>
        <w:rPr>
          <w:rFonts w:hint="eastAsia"/>
          <w:sz w:val="20"/>
        </w:rPr>
        <w:t xml:space="preserve">Apply above mapping rules for each subchannel in the resource pool. </w:t>
      </w:r>
    </w:p>
    <w:p w:rsidR="000F734B" w:rsidRDefault="00181331">
      <w:pPr>
        <w:numPr>
          <w:ilvl w:val="255"/>
          <w:numId w:val="0"/>
        </w:numPr>
        <w:spacing w:before="120" w:after="120"/>
        <w:rPr>
          <w:sz w:val="20"/>
          <w:szCs w:val="22"/>
        </w:rPr>
      </w:pPr>
      <w:r>
        <w:rPr>
          <w:rFonts w:hint="eastAsia"/>
          <w:sz w:val="20"/>
          <w:szCs w:val="22"/>
        </w:rPr>
        <w:t xml:space="preserve">And if a PSSCH transmission occupies more than one subchannels, the PSSCH has one associated subgroup of candidate PSFCH resources on each of these subchannels respectively, e.g., if a PSSCH occupies subchannel 2 and 3 in slot m, then the associated candidate PSFCH resource subgroups would be </w:t>
      </w:r>
      <w:r>
        <w:rPr>
          <w:rFonts w:hint="eastAsia"/>
          <w:position w:val="-14"/>
          <w:sz w:val="20"/>
          <w:szCs w:val="22"/>
        </w:rPr>
        <w:object w:dxaOrig="419" w:dyaOrig="387">
          <v:shape id="_x0000_i1033" type="#_x0000_t75" style="width:20.95pt;height:19.4pt" o:ole="">
            <v:imagedata r:id="rId24" o:title=""/>
          </v:shape>
          <o:OLEObject Type="Embed" ProgID="Equation.3" ShapeID="_x0000_i1033" DrawAspect="Content" ObjectID="_1634739814" r:id="rId25"/>
        </w:object>
      </w:r>
      <w:r>
        <w:rPr>
          <w:rFonts w:hint="eastAsia"/>
          <w:sz w:val="20"/>
          <w:szCs w:val="22"/>
        </w:rPr>
        <w:t xml:space="preserve"> and </w:t>
      </w:r>
      <w:r>
        <w:rPr>
          <w:rFonts w:hint="eastAsia"/>
          <w:position w:val="-14"/>
          <w:sz w:val="20"/>
          <w:szCs w:val="22"/>
        </w:rPr>
        <w:object w:dxaOrig="419" w:dyaOrig="387">
          <v:shape id="_x0000_i1034" type="#_x0000_t75" style="width:20.95pt;height:19.4pt" o:ole="">
            <v:imagedata r:id="rId26" o:title=""/>
          </v:shape>
          <o:OLEObject Type="Embed" ProgID="Equation.3" ShapeID="_x0000_i1034" DrawAspect="Content" ObjectID="_1634739815" r:id="rId27"/>
        </w:object>
      </w:r>
      <w:r>
        <w:rPr>
          <w:rFonts w:hint="eastAsia"/>
          <w:sz w:val="20"/>
          <w:szCs w:val="22"/>
        </w:rPr>
        <w:t>.</w:t>
      </w:r>
    </w:p>
    <w:p w:rsidR="000F734B" w:rsidRDefault="00181331">
      <w:pPr>
        <w:spacing w:before="120" w:after="120"/>
        <w:rPr>
          <w:sz w:val="20"/>
        </w:rPr>
      </w:pPr>
      <w:r>
        <w:rPr>
          <w:sz w:val="20"/>
        </w:rPr>
        <w:t>One</w:t>
      </w:r>
      <w:r>
        <w:rPr>
          <w:rFonts w:hint="eastAsia"/>
          <w:sz w:val="20"/>
        </w:rPr>
        <w:t xml:space="preserve"> example of subchannel based PSFCH mapping rules is shown in </w:t>
      </w:r>
      <w:r>
        <w:rPr>
          <w:rFonts w:hint="eastAsia"/>
          <w:sz w:val="20"/>
        </w:rPr>
        <w:fldChar w:fldCharType="begin"/>
      </w:r>
      <w:r>
        <w:rPr>
          <w:rFonts w:hint="eastAsia"/>
          <w:sz w:val="20"/>
        </w:rPr>
        <w:instrText xml:space="preserve"> REF _Ref26767 \h </w:instrText>
      </w:r>
      <w:r>
        <w:rPr>
          <w:rFonts w:hint="eastAsia"/>
          <w:sz w:val="20"/>
        </w:rPr>
      </w:r>
      <w:r>
        <w:rPr>
          <w:rFonts w:hint="eastAsia"/>
          <w:sz w:val="20"/>
        </w:rPr>
        <w:fldChar w:fldCharType="separate"/>
      </w:r>
      <w:r>
        <w:rPr>
          <w:bCs/>
          <w:sz w:val="20"/>
        </w:rPr>
        <w:t xml:space="preserve">Figure </w:t>
      </w:r>
      <w:r>
        <w:rPr>
          <w:b/>
          <w:bCs/>
          <w:sz w:val="20"/>
        </w:rPr>
        <w:t>1</w:t>
      </w:r>
      <w:r>
        <w:rPr>
          <w:rFonts w:hint="eastAsia"/>
          <w:sz w:val="20"/>
        </w:rPr>
        <w:fldChar w:fldCharType="end"/>
      </w:r>
      <w:r>
        <w:rPr>
          <w:rFonts w:hint="eastAsia"/>
          <w:sz w:val="20"/>
        </w:rPr>
        <w:t>, assuming that there are two slots(slot n-k-1, slot n-k) will map to the PSFCH slot n. As shown above, subchannel based PSSCH-to-PSFCH mapping method is some kind of resource-to-resource mapping mechanism, it is independent of the cast-type and the HARQ feedback option of the PSSCH transmission.</w:t>
      </w:r>
    </w:p>
    <w:p w:rsidR="000F734B" w:rsidRDefault="00181331">
      <w:pPr>
        <w:spacing w:before="120" w:after="120"/>
        <w:jc w:val="center"/>
      </w:pPr>
      <w:r>
        <w:object w:dxaOrig="9102" w:dyaOrig="3321">
          <v:shape id="_x0000_i1035" type="#_x0000_t75" style="width:455pt;height:165.95pt" o:ole="">
            <v:imagedata r:id="rId28" o:title=""/>
          </v:shape>
          <o:OLEObject Type="Embed" ProgID="Visio.Drawing.11" ShapeID="_x0000_i1035" DrawAspect="Content" ObjectID="_1634739816" r:id="rId29"/>
        </w:object>
      </w:r>
    </w:p>
    <w:p w:rsidR="000F734B" w:rsidRDefault="00181331">
      <w:pPr>
        <w:pStyle w:val="Caption"/>
        <w:jc w:val="center"/>
      </w:pPr>
      <w:r>
        <w:rPr>
          <w:b w:val="0"/>
          <w:bCs/>
          <w:sz w:val="20"/>
        </w:rPr>
        <w:t xml:space="preserve">Figure </w:t>
      </w:r>
      <w:r>
        <w:rPr>
          <w:b w:val="0"/>
          <w:bCs/>
          <w:sz w:val="20"/>
        </w:rPr>
        <w:fldChar w:fldCharType="begin"/>
      </w:r>
      <w:r>
        <w:rPr>
          <w:b w:val="0"/>
          <w:bCs/>
          <w:sz w:val="20"/>
        </w:rPr>
        <w:instrText xml:space="preserve"> SEQ Figure \* ARABIC </w:instrText>
      </w:r>
      <w:r>
        <w:rPr>
          <w:b w:val="0"/>
          <w:bCs/>
          <w:sz w:val="20"/>
        </w:rPr>
        <w:fldChar w:fldCharType="separate"/>
      </w:r>
      <w:r>
        <w:rPr>
          <w:b w:val="0"/>
          <w:bCs/>
          <w:sz w:val="20"/>
        </w:rPr>
        <w:t>1</w:t>
      </w:r>
      <w:r>
        <w:rPr>
          <w:b w:val="0"/>
          <w:bCs/>
          <w:sz w:val="20"/>
        </w:rPr>
        <w:fldChar w:fldCharType="end"/>
      </w:r>
      <w:r>
        <w:rPr>
          <w:rFonts w:hint="eastAsia"/>
          <w:b w:val="0"/>
          <w:bCs/>
          <w:sz w:val="20"/>
        </w:rPr>
        <w:t xml:space="preserve"> an example of </w:t>
      </w:r>
      <w:r>
        <w:rPr>
          <w:rFonts w:hint="eastAsia"/>
          <w:b w:val="0"/>
          <w:sz w:val="20"/>
        </w:rPr>
        <w:t>subchannel based PSFCH mapping</w:t>
      </w:r>
    </w:p>
    <w:p w:rsidR="000F734B" w:rsidRDefault="000F734B">
      <w:pPr>
        <w:spacing w:before="120" w:after="120"/>
        <w:rPr>
          <w:sz w:val="20"/>
        </w:rPr>
      </w:pPr>
    </w:p>
    <w:p w:rsidR="000F734B" w:rsidRDefault="00181331">
      <w:pPr>
        <w:pStyle w:val="YJ-Proposal"/>
        <w:spacing w:before="120" w:after="120"/>
        <w:rPr>
          <w:szCs w:val="22"/>
          <w:lang w:val="en-US" w:eastAsia="zh-CN"/>
        </w:rPr>
      </w:pPr>
      <w:bookmarkStart w:id="17" w:name="_Toc24078492"/>
      <w:bookmarkStart w:id="18" w:name="_Toc24125797"/>
      <w:bookmarkStart w:id="19" w:name="_Toc24126843"/>
      <w:r>
        <w:rPr>
          <w:rFonts w:hint="eastAsia"/>
          <w:szCs w:val="22"/>
          <w:lang w:val="en-US" w:eastAsia="zh-CN"/>
        </w:rPr>
        <w:t xml:space="preserve">In addition to </w:t>
      </w:r>
      <w:r>
        <w:rPr>
          <w:rFonts w:hint="eastAsia"/>
          <w:szCs w:val="22"/>
          <w:lang w:val="en-US"/>
        </w:rPr>
        <w:t>the starting sub-channel index</w:t>
      </w:r>
      <w:r w:rsidR="0021619D">
        <w:rPr>
          <w:szCs w:val="22"/>
          <w:lang w:val="en-US" w:eastAsia="zh-CN"/>
        </w:rPr>
        <w:t xml:space="preserve"> and</w:t>
      </w:r>
      <w:r>
        <w:rPr>
          <w:rFonts w:hint="eastAsia"/>
          <w:szCs w:val="22"/>
          <w:lang w:val="en-US" w:eastAsia="zh-CN"/>
        </w:rPr>
        <w:t xml:space="preserve"> </w:t>
      </w:r>
      <w:r>
        <w:rPr>
          <w:rFonts w:hint="eastAsia"/>
          <w:szCs w:val="22"/>
          <w:lang w:val="en-US"/>
        </w:rPr>
        <w:t>slot index</w:t>
      </w:r>
      <w:r w:rsidR="00D70142">
        <w:rPr>
          <w:szCs w:val="22"/>
          <w:lang w:val="en-US"/>
        </w:rPr>
        <w:t xml:space="preserve"> of PSSCH</w:t>
      </w:r>
      <w:r>
        <w:rPr>
          <w:rFonts w:hint="eastAsia"/>
          <w:szCs w:val="22"/>
          <w:lang w:val="en-US" w:eastAsia="zh-CN"/>
        </w:rPr>
        <w:t>, the number of occupied P</w:t>
      </w:r>
      <w:r w:rsidR="00D70142">
        <w:rPr>
          <w:rFonts w:hint="eastAsia"/>
          <w:szCs w:val="22"/>
          <w:lang w:val="en-US" w:eastAsia="zh-CN"/>
        </w:rPr>
        <w:t>SSCH subchannles is also used in determination of</w:t>
      </w:r>
      <w:r>
        <w:rPr>
          <w:rFonts w:hint="eastAsia"/>
          <w:szCs w:val="22"/>
          <w:lang w:val="en-US"/>
        </w:rPr>
        <w:t xml:space="preserve"> </w:t>
      </w:r>
      <w:r>
        <w:rPr>
          <w:rFonts w:hint="eastAsia"/>
          <w:szCs w:val="22"/>
          <w:lang w:val="en-US" w:eastAsia="zh-CN"/>
        </w:rPr>
        <w:t xml:space="preserve">the </w:t>
      </w:r>
      <w:r w:rsidR="00D70142">
        <w:rPr>
          <w:szCs w:val="22"/>
          <w:lang w:val="en-US" w:eastAsia="zh-CN"/>
        </w:rPr>
        <w:t xml:space="preserve">corresponding </w:t>
      </w:r>
      <w:r>
        <w:rPr>
          <w:rFonts w:hint="eastAsia"/>
          <w:szCs w:val="22"/>
          <w:lang w:val="en-US"/>
        </w:rPr>
        <w:t>PSFCH candidate resources</w:t>
      </w:r>
      <w:r>
        <w:rPr>
          <w:rFonts w:hint="eastAsia"/>
          <w:szCs w:val="22"/>
          <w:lang w:val="en-US" w:eastAsia="zh-CN"/>
        </w:rPr>
        <w:t>.</w:t>
      </w:r>
      <w:bookmarkEnd w:id="17"/>
      <w:bookmarkEnd w:id="18"/>
      <w:bookmarkEnd w:id="19"/>
    </w:p>
    <w:p w:rsidR="000F734B" w:rsidRDefault="00181331">
      <w:pPr>
        <w:pStyle w:val="YJ-Proposal"/>
        <w:spacing w:before="120" w:after="120"/>
        <w:rPr>
          <w:lang w:val="en-US" w:eastAsia="zh-CN"/>
        </w:rPr>
      </w:pPr>
      <w:bookmarkStart w:id="20" w:name="_Toc29855"/>
      <w:bookmarkStart w:id="21" w:name="_Toc24078493"/>
      <w:bookmarkStart w:id="22" w:name="_Toc24125798"/>
      <w:bookmarkStart w:id="23" w:name="_Toc24126844"/>
      <w:r>
        <w:rPr>
          <w:rFonts w:hint="eastAsia"/>
          <w:szCs w:val="22"/>
          <w:lang w:val="en-US" w:eastAsia="zh-CN"/>
        </w:rPr>
        <w:t xml:space="preserve">All the determined PSFCH candidate resources </w:t>
      </w:r>
      <w:r w:rsidR="00D70142">
        <w:rPr>
          <w:szCs w:val="22"/>
          <w:lang w:val="en-US" w:eastAsia="zh-CN"/>
        </w:rPr>
        <w:t xml:space="preserve">for a PSSCH </w:t>
      </w:r>
      <w:r>
        <w:rPr>
          <w:rFonts w:hint="eastAsia"/>
          <w:szCs w:val="22"/>
          <w:lang w:val="en-US" w:eastAsia="zh-CN"/>
        </w:rPr>
        <w:t xml:space="preserve">should be within the subchannel(s) of </w:t>
      </w:r>
      <w:r w:rsidR="00D70142">
        <w:rPr>
          <w:szCs w:val="22"/>
          <w:lang w:val="en-US" w:eastAsia="zh-CN"/>
        </w:rPr>
        <w:t>the</w:t>
      </w:r>
      <w:r>
        <w:rPr>
          <w:rFonts w:hint="eastAsia"/>
          <w:szCs w:val="22"/>
          <w:lang w:val="en-US" w:eastAsia="zh-CN"/>
        </w:rPr>
        <w:t xml:space="preserve"> PSSCH</w:t>
      </w:r>
      <w:bookmarkEnd w:id="20"/>
      <w:r w:rsidR="0006398D">
        <w:rPr>
          <w:szCs w:val="22"/>
          <w:lang w:val="en-US" w:eastAsia="zh-CN"/>
        </w:rPr>
        <w:t>.</w:t>
      </w:r>
      <w:bookmarkEnd w:id="21"/>
      <w:bookmarkEnd w:id="22"/>
      <w:bookmarkEnd w:id="23"/>
    </w:p>
    <w:p w:rsidR="000F734B" w:rsidRDefault="00181331">
      <w:pPr>
        <w:spacing w:before="120" w:after="120"/>
        <w:rPr>
          <w:sz w:val="20"/>
          <w:szCs w:val="22"/>
        </w:rPr>
      </w:pPr>
      <w:r>
        <w:rPr>
          <w:rFonts w:hint="eastAsia"/>
          <w:sz w:val="20"/>
          <w:szCs w:val="22"/>
        </w:rPr>
        <w:t>For the actual transmission PSFCH resource(s) selection within the determined PSFCH candidate resources, the benefit of using L1 source ID is not clear</w:t>
      </w:r>
      <w:r w:rsidR="00D67AC0">
        <w:rPr>
          <w:sz w:val="20"/>
          <w:szCs w:val="22"/>
        </w:rPr>
        <w:t>, given</w:t>
      </w:r>
      <w:r>
        <w:rPr>
          <w:rFonts w:hint="eastAsia"/>
          <w:sz w:val="20"/>
          <w:szCs w:val="22"/>
        </w:rPr>
        <w:t xml:space="preserve"> this is only for the case when two UEs select the same transmission PSSCH resource. From our point of view, the sensing procedure would actually reduce the probability of PSSCH resource </w:t>
      </w:r>
      <w:r>
        <w:rPr>
          <w:rFonts w:hint="eastAsia"/>
          <w:sz w:val="20"/>
          <w:szCs w:val="22"/>
        </w:rPr>
        <w:lastRenderedPageBreak/>
        <w:t>collision case, even for the case that two PSSCHs Tx are overlaps with each other, the benefit to only distinguish their PSFCHs is not clear.</w:t>
      </w:r>
    </w:p>
    <w:p w:rsidR="000F734B" w:rsidRDefault="00181331">
      <w:pPr>
        <w:pStyle w:val="YJ-Observation"/>
        <w:spacing w:before="120" w:after="120"/>
        <w:rPr>
          <w:szCs w:val="22"/>
          <w:lang w:val="en-US" w:eastAsia="zh-CN"/>
        </w:rPr>
      </w:pPr>
      <w:bookmarkStart w:id="24" w:name="_Toc24125899"/>
      <w:r>
        <w:rPr>
          <w:rFonts w:hint="eastAsia"/>
          <w:lang w:val="en-US" w:eastAsia="zh-CN"/>
        </w:rPr>
        <w:t>For PSFCH resource selection for actual transmission, the benefit</w:t>
      </w:r>
      <w:r w:rsidR="00D67AC0">
        <w:rPr>
          <w:rFonts w:hint="eastAsia"/>
          <w:lang w:val="en-US" w:eastAsia="zh-CN"/>
        </w:rPr>
        <w:t xml:space="preserve"> of using L1 source ID is not </w:t>
      </w:r>
      <w:r>
        <w:rPr>
          <w:rFonts w:hint="eastAsia"/>
          <w:lang w:val="en-US" w:eastAsia="zh-CN"/>
        </w:rPr>
        <w:t>justified</w:t>
      </w:r>
      <w:r>
        <w:rPr>
          <w:rFonts w:eastAsia="SimSun" w:hint="eastAsia"/>
          <w:lang w:val="en-US" w:eastAsia="zh-CN"/>
        </w:rPr>
        <w:t>.</w:t>
      </w:r>
      <w:bookmarkEnd w:id="24"/>
      <w:r>
        <w:rPr>
          <w:rFonts w:eastAsia="SimSun" w:hint="eastAsia"/>
          <w:lang w:val="en-US" w:eastAsia="zh-CN"/>
        </w:rPr>
        <w:t xml:space="preserve"> </w:t>
      </w:r>
    </w:p>
    <w:p w:rsidR="000F734B" w:rsidRDefault="00181331">
      <w:pPr>
        <w:spacing w:before="120" w:after="120"/>
      </w:pPr>
      <w:r>
        <w:rPr>
          <w:rFonts w:hint="eastAsia"/>
        </w:rPr>
        <w:t xml:space="preserve">For unicast and groupcast option 1, a simple selection rule for </w:t>
      </w:r>
      <w:r w:rsidR="00D70142">
        <w:rPr>
          <w:rFonts w:hint="eastAsia"/>
          <w:sz w:val="20"/>
          <w:szCs w:val="22"/>
        </w:rPr>
        <w:t xml:space="preserve">the actually-used </w:t>
      </w:r>
      <w:r>
        <w:rPr>
          <w:rFonts w:hint="eastAsia"/>
          <w:sz w:val="20"/>
          <w:szCs w:val="22"/>
        </w:rPr>
        <w:t>PSFCH resource(s) is preferred, and two alternatives are shown below</w:t>
      </w:r>
      <w:r>
        <w:rPr>
          <w:rFonts w:hint="eastAsia"/>
        </w:rPr>
        <w:t>:</w:t>
      </w:r>
    </w:p>
    <w:p w:rsidR="000F734B" w:rsidRDefault="00181331">
      <w:pPr>
        <w:numPr>
          <w:ilvl w:val="0"/>
          <w:numId w:val="14"/>
        </w:numPr>
        <w:spacing w:before="120" w:after="120"/>
      </w:pPr>
      <w:r>
        <w:rPr>
          <w:rFonts w:hint="eastAsia"/>
          <w:sz w:val="20"/>
          <w:szCs w:val="22"/>
        </w:rPr>
        <w:t xml:space="preserve">Alt </w:t>
      </w:r>
      <w:r w:rsidR="00D70142">
        <w:rPr>
          <w:rFonts w:hint="eastAsia"/>
        </w:rPr>
        <w:t>1:</w:t>
      </w:r>
      <w:r>
        <w:rPr>
          <w:rFonts w:hint="eastAsia"/>
        </w:rPr>
        <w:t xml:space="preserve"> fixed at one PRB, e.g., the lowest PRB of the PSFCH candidate resources</w:t>
      </w:r>
    </w:p>
    <w:p w:rsidR="000F734B" w:rsidRDefault="00D70142">
      <w:pPr>
        <w:numPr>
          <w:ilvl w:val="0"/>
          <w:numId w:val="14"/>
        </w:numPr>
        <w:spacing w:before="120" w:after="120"/>
      </w:pPr>
      <w:r>
        <w:rPr>
          <w:rFonts w:hint="eastAsia"/>
        </w:rPr>
        <w:t>Alt 2:</w:t>
      </w:r>
      <w:r w:rsidR="00181331">
        <w:rPr>
          <w:rFonts w:hint="eastAsia"/>
        </w:rPr>
        <w:t xml:space="preserve"> preform PRB repetition to occupy all the PRBs of the PSFCH candidate resources</w:t>
      </w:r>
    </w:p>
    <w:p w:rsidR="000F734B" w:rsidRDefault="00181331">
      <w:pPr>
        <w:spacing w:before="120" w:after="120"/>
      </w:pPr>
      <w:r>
        <w:rPr>
          <w:rFonts w:hint="eastAsia"/>
        </w:rPr>
        <w:t>For groupcast option 2, basing on the LS from SA2, a member ID i</w:t>
      </w:r>
      <w:r w:rsidR="00D70142">
        <w:rPr>
          <w:rFonts w:hint="eastAsia"/>
        </w:rPr>
        <w:t>s provided by high layer.</w:t>
      </w:r>
      <w:r w:rsidR="00D70142">
        <w:t xml:space="preserve"> According to</w:t>
      </w:r>
      <w:r>
        <w:rPr>
          <w:rFonts w:hint="eastAsia"/>
        </w:rPr>
        <w:t xml:space="preserve"> the agreement of [98b-NR-21], </w:t>
      </w:r>
      <w:r w:rsidR="00D70142">
        <w:rPr>
          <w:rFonts w:hint="eastAsia"/>
          <w:sz w:val="20"/>
          <w:szCs w:val="22"/>
        </w:rPr>
        <w:t xml:space="preserve">the actually used </w:t>
      </w:r>
      <w:r>
        <w:rPr>
          <w:rFonts w:hint="eastAsia"/>
          <w:sz w:val="20"/>
          <w:szCs w:val="22"/>
        </w:rPr>
        <w:t>PSFCH resource should be s</w:t>
      </w:r>
      <w:r w:rsidR="005317AF">
        <w:rPr>
          <w:rFonts w:hint="eastAsia"/>
          <w:sz w:val="20"/>
          <w:szCs w:val="22"/>
        </w:rPr>
        <w:t>elected basing on the member ID,</w:t>
      </w:r>
      <w:r>
        <w:rPr>
          <w:rFonts w:hint="eastAsia"/>
          <w:sz w:val="20"/>
          <w:szCs w:val="22"/>
        </w:rPr>
        <w:t xml:space="preserve"> </w:t>
      </w:r>
      <w:r w:rsidR="005317AF">
        <w:rPr>
          <w:rFonts w:hint="eastAsia"/>
        </w:rPr>
        <w:t>e</w:t>
      </w:r>
      <w:r>
        <w:rPr>
          <w:rFonts w:hint="eastAsia"/>
        </w:rPr>
        <w:t>.g., order</w:t>
      </w:r>
      <w:r w:rsidR="005317AF">
        <w:t>ing</w:t>
      </w:r>
      <w:r>
        <w:rPr>
          <w:rFonts w:hint="eastAsia"/>
        </w:rPr>
        <w:t xml:space="preserve"> the deter</w:t>
      </w:r>
      <w:r w:rsidR="005317AF">
        <w:rPr>
          <w:rFonts w:hint="eastAsia"/>
        </w:rPr>
        <w:t>mined PSFCH candidate resources and selecting</w:t>
      </w:r>
      <w:r>
        <w:rPr>
          <w:rFonts w:hint="eastAsia"/>
        </w:rPr>
        <w:t xml:space="preserve"> </w:t>
      </w:r>
      <w:r w:rsidR="005317AF">
        <w:t xml:space="preserve">the </w:t>
      </w:r>
      <w:r w:rsidR="005317AF">
        <w:rPr>
          <w:rFonts w:hint="eastAsia"/>
        </w:rPr>
        <w:t xml:space="preserve">one </w:t>
      </w:r>
      <w:r>
        <w:rPr>
          <w:rFonts w:hint="eastAsia"/>
        </w:rPr>
        <w:t>based on the member ID</w:t>
      </w:r>
      <w:r w:rsidR="005317AF">
        <w:t xml:space="preserve"> ordering</w:t>
      </w:r>
      <w:r>
        <w:rPr>
          <w:rFonts w:hint="eastAsia"/>
        </w:rPr>
        <w:t>.</w:t>
      </w:r>
    </w:p>
    <w:p w:rsidR="000F734B" w:rsidRDefault="00181331">
      <w:pPr>
        <w:pStyle w:val="YJ-Proposal"/>
        <w:spacing w:before="120" w:after="120"/>
        <w:rPr>
          <w:lang w:val="en-US" w:eastAsia="zh-CN"/>
        </w:rPr>
      </w:pPr>
      <w:bookmarkStart w:id="25" w:name="_Toc24078494"/>
      <w:bookmarkStart w:id="26" w:name="_Toc24125799"/>
      <w:bookmarkStart w:id="27" w:name="_Toc24126845"/>
      <w:r>
        <w:rPr>
          <w:rFonts w:hint="eastAsia"/>
          <w:lang w:val="en-US" w:eastAsia="zh-CN"/>
        </w:rPr>
        <w:t>L1 source ID is not used for PSFCH resource selection.</w:t>
      </w:r>
      <w:bookmarkEnd w:id="25"/>
      <w:bookmarkEnd w:id="26"/>
      <w:bookmarkEnd w:id="27"/>
    </w:p>
    <w:p w:rsidR="000F734B" w:rsidRDefault="00181331">
      <w:pPr>
        <w:pStyle w:val="YJ-Proposal"/>
        <w:spacing w:before="120" w:after="120"/>
        <w:rPr>
          <w:lang w:val="en-US" w:eastAsia="zh-CN"/>
        </w:rPr>
      </w:pPr>
      <w:bookmarkStart w:id="28" w:name="_Toc24078495"/>
      <w:bookmarkStart w:id="29" w:name="_Toc24125800"/>
      <w:bookmarkStart w:id="30" w:name="_Toc24126846"/>
      <w:r>
        <w:rPr>
          <w:rFonts w:hint="eastAsia"/>
          <w:lang w:val="en-US" w:eastAsia="zh-CN"/>
        </w:rPr>
        <w:t xml:space="preserve">For the </w:t>
      </w:r>
      <w:r>
        <w:rPr>
          <w:rFonts w:hint="eastAsia"/>
          <w:szCs w:val="22"/>
          <w:lang w:val="en-US" w:eastAsia="zh-CN"/>
        </w:rPr>
        <w:t xml:space="preserve">actual </w:t>
      </w:r>
      <w:r w:rsidR="005317AF">
        <w:rPr>
          <w:rFonts w:hint="eastAsia"/>
          <w:szCs w:val="22"/>
          <w:lang w:val="en-US" w:eastAsia="zh-CN"/>
        </w:rPr>
        <w:t>PSFCH resource(s) selection in</w:t>
      </w:r>
      <w:r>
        <w:rPr>
          <w:rFonts w:hint="eastAsia"/>
          <w:szCs w:val="22"/>
          <w:lang w:val="en-US" w:eastAsia="zh-CN"/>
        </w:rPr>
        <w:t xml:space="preserve"> </w:t>
      </w:r>
      <w:r>
        <w:rPr>
          <w:rFonts w:hint="eastAsia"/>
          <w:lang w:val="en-US" w:eastAsia="zh-CN"/>
        </w:rPr>
        <w:t>unica</w:t>
      </w:r>
      <w:r w:rsidR="005317AF">
        <w:rPr>
          <w:rFonts w:hint="eastAsia"/>
          <w:lang w:val="en-US" w:eastAsia="zh-CN"/>
        </w:rPr>
        <w:t>st and groupcast option 1, down-select</w:t>
      </w:r>
      <w:r>
        <w:rPr>
          <w:rFonts w:hint="eastAsia"/>
          <w:lang w:val="en-US" w:eastAsia="zh-CN"/>
        </w:rPr>
        <w:t xml:space="preserve"> form the following two alternatives:</w:t>
      </w:r>
      <w:bookmarkEnd w:id="28"/>
      <w:bookmarkEnd w:id="29"/>
      <w:bookmarkEnd w:id="30"/>
    </w:p>
    <w:p w:rsidR="000F734B" w:rsidRDefault="0006398D">
      <w:pPr>
        <w:pStyle w:val="subullet"/>
        <w:spacing w:before="120" w:after="120"/>
        <w:rPr>
          <w:rFonts w:hint="default"/>
        </w:rPr>
      </w:pPr>
      <w:bookmarkStart w:id="31" w:name="_Toc24078496"/>
      <w:bookmarkStart w:id="32" w:name="_Toc24125801"/>
      <w:bookmarkStart w:id="33" w:name="_Toc24126847"/>
      <w:r>
        <w:t>Alt1:</w:t>
      </w:r>
      <w:r w:rsidR="00181331">
        <w:t xml:space="preserve"> fixed at one PRB, e.g., the lowest PRB of the determined PSFCH candidate resources.</w:t>
      </w:r>
      <w:bookmarkEnd w:id="31"/>
      <w:bookmarkEnd w:id="32"/>
      <w:bookmarkEnd w:id="33"/>
    </w:p>
    <w:p w:rsidR="000F734B" w:rsidRDefault="0006398D">
      <w:pPr>
        <w:pStyle w:val="subullet"/>
        <w:spacing w:before="120" w:after="120"/>
        <w:rPr>
          <w:rFonts w:hint="default"/>
        </w:rPr>
      </w:pPr>
      <w:bookmarkStart w:id="34" w:name="_Toc24078497"/>
      <w:bookmarkStart w:id="35" w:name="_Toc24125802"/>
      <w:bookmarkStart w:id="36" w:name="_Toc24126848"/>
      <w:r>
        <w:t>Alt2:</w:t>
      </w:r>
      <w:r w:rsidR="005317AF">
        <w:t xml:space="preserve"> p</w:t>
      </w:r>
      <w:r w:rsidR="00181331">
        <w:t>e</w:t>
      </w:r>
      <w:r w:rsidR="005317AF">
        <w:rPr>
          <w:rFonts w:hint="default"/>
        </w:rPr>
        <w:t>r</w:t>
      </w:r>
      <w:r w:rsidR="00181331">
        <w:t>form PRB repetition to occupy all the PRBs of the determined PSFCH candidate resources</w:t>
      </w:r>
      <w:bookmarkEnd w:id="34"/>
      <w:bookmarkEnd w:id="35"/>
      <w:bookmarkEnd w:id="36"/>
    </w:p>
    <w:p w:rsidR="000F734B" w:rsidRDefault="000F734B">
      <w:pPr>
        <w:pStyle w:val="subullet"/>
        <w:numPr>
          <w:ilvl w:val="1"/>
          <w:numId w:val="0"/>
        </w:numPr>
        <w:tabs>
          <w:tab w:val="clear" w:pos="840"/>
          <w:tab w:val="left" w:pos="0"/>
        </w:tabs>
        <w:spacing w:before="120" w:after="120"/>
        <w:ind w:left="420"/>
        <w:rPr>
          <w:rFonts w:hint="default"/>
          <w:szCs w:val="22"/>
        </w:rPr>
      </w:pPr>
    </w:p>
    <w:p w:rsidR="000F734B" w:rsidRDefault="00181331">
      <w:pPr>
        <w:pStyle w:val="Heading2"/>
        <w:spacing w:before="120" w:after="120"/>
        <w:ind w:left="991" w:right="210" w:hangingChars="354" w:hanging="991"/>
      </w:pPr>
      <w:r>
        <w:rPr>
          <w:rFonts w:hint="eastAsia"/>
          <w:szCs w:val="28"/>
        </w:rPr>
        <w:t xml:space="preserve">PSFCH </w:t>
      </w:r>
      <w:r>
        <w:rPr>
          <w:rFonts w:eastAsia="SimSun" w:hint="eastAsia"/>
          <w:szCs w:val="28"/>
        </w:rPr>
        <w:t>Tx/Tx and Tx/Rx collision</w:t>
      </w:r>
    </w:p>
    <w:p w:rsidR="000F734B" w:rsidRDefault="00181331">
      <w:pPr>
        <w:spacing w:before="120" w:after="120"/>
        <w:rPr>
          <w:lang w:eastAsia="ko-KR"/>
        </w:rPr>
      </w:pPr>
      <w:bookmarkStart w:id="37" w:name="_Toc20310"/>
      <w:bookmarkStart w:id="38" w:name="_Toc17661"/>
      <w:bookmarkStart w:id="39" w:name="_Toc14990"/>
      <w:r>
        <w:rPr>
          <w:rFonts w:hint="eastAsia"/>
        </w:rPr>
        <w:t xml:space="preserve">For </w:t>
      </w:r>
      <w:r>
        <w:rPr>
          <w:rFonts w:hint="eastAsia"/>
          <w:sz w:val="20"/>
        </w:rPr>
        <w:t xml:space="preserve">the PSFCH Tx/Tx overlapping </w:t>
      </w:r>
      <w:r w:rsidR="00A55ACD">
        <w:rPr>
          <w:sz w:val="20"/>
        </w:rPr>
        <w:t>cases (</w:t>
      </w:r>
      <w:r>
        <w:rPr>
          <w:rFonts w:hint="eastAsia"/>
          <w:sz w:val="20"/>
        </w:rPr>
        <w:t xml:space="preserve">to different UEs or the same UE), as </w:t>
      </w:r>
      <w:r>
        <w:rPr>
          <w:rFonts w:hint="eastAsia"/>
        </w:rPr>
        <w:t>the LS from RAN4</w:t>
      </w:r>
      <w:r>
        <w:rPr>
          <w:rFonts w:hint="eastAsia"/>
          <w:sz w:val="20"/>
        </w:rPr>
        <w:t xml:space="preserve">, </w:t>
      </w:r>
      <w:r>
        <w:rPr>
          <w:lang w:eastAsia="ko-KR"/>
        </w:rPr>
        <w:t xml:space="preserve">N&gt;1 simultaneous </w:t>
      </w:r>
      <w:r>
        <w:rPr>
          <w:rFonts w:hint="eastAsia"/>
        </w:rPr>
        <w:t xml:space="preserve">PSFCH </w:t>
      </w:r>
      <w:r>
        <w:rPr>
          <w:lang w:eastAsia="ko-KR"/>
        </w:rPr>
        <w:t>transmission could be possible</w:t>
      </w:r>
      <w:r>
        <w:rPr>
          <w:rFonts w:hint="eastAsia"/>
        </w:rPr>
        <w:t xml:space="preserve">, </w:t>
      </w:r>
      <w:r>
        <w:rPr>
          <w:rFonts w:hint="eastAsia"/>
          <w:sz w:val="20"/>
        </w:rPr>
        <w:t xml:space="preserve">but RAN4 does not have a conclusion on the value of N, and </w:t>
      </w:r>
      <w:r>
        <w:rPr>
          <w:rFonts w:hint="eastAsia"/>
        </w:rPr>
        <w:t>s</w:t>
      </w:r>
      <w:r>
        <w:rPr>
          <w:lang w:eastAsia="ko-KR"/>
        </w:rPr>
        <w:t>ome potential limitations to support number N&gt;1 of simultaneous PSFCH transmission are listed below:</w:t>
      </w:r>
    </w:p>
    <w:p w:rsidR="000F734B" w:rsidRDefault="00181331">
      <w:pPr>
        <w:numPr>
          <w:ilvl w:val="0"/>
          <w:numId w:val="15"/>
        </w:numPr>
        <w:spacing w:before="120" w:after="120"/>
        <w:rPr>
          <w:bCs/>
          <w:lang w:val="fi-FI"/>
        </w:rPr>
      </w:pPr>
      <w:r>
        <w:rPr>
          <w:bCs/>
          <w:lang w:val="fi-FI"/>
        </w:rPr>
        <w:t>The power of each PSFCH trasmitted relative to the other simultaneous PSFCH transmitted could limit the maximum number of simultaneous transmissions. (e.g. Same PSD or different PSD)</w:t>
      </w:r>
    </w:p>
    <w:p w:rsidR="000F734B" w:rsidRDefault="00181331">
      <w:pPr>
        <w:numPr>
          <w:ilvl w:val="0"/>
          <w:numId w:val="15"/>
        </w:numPr>
        <w:spacing w:before="120" w:after="120"/>
        <w:rPr>
          <w:bCs/>
          <w:sz w:val="24"/>
          <w:lang w:val="fi-FI"/>
        </w:rPr>
      </w:pPr>
      <w:r>
        <w:rPr>
          <w:bCs/>
          <w:lang w:val="fi-FI"/>
        </w:rPr>
        <w:t>For contiguous &amp; discontiguous transmissions N&gt;1 could be supported and MPR, AMPR, IBE are some of the RF requirements which need to be studied in RAN4.</w:t>
      </w:r>
    </w:p>
    <w:p w:rsidR="000F734B" w:rsidRDefault="00181331">
      <w:pPr>
        <w:numPr>
          <w:ilvl w:val="1"/>
          <w:numId w:val="15"/>
        </w:numPr>
        <w:spacing w:before="120" w:after="120"/>
        <w:rPr>
          <w:bCs/>
          <w:szCs w:val="18"/>
          <w:lang w:val="fi-FI"/>
        </w:rPr>
      </w:pPr>
      <w:r>
        <w:rPr>
          <w:bCs/>
          <w:szCs w:val="18"/>
          <w:lang w:val="fi-FI"/>
        </w:rPr>
        <w:t xml:space="preserve">The requirements for contigous &amp; non-contiguous transmission could be different </w:t>
      </w:r>
    </w:p>
    <w:p w:rsidR="000F734B" w:rsidRDefault="00181331">
      <w:pPr>
        <w:numPr>
          <w:ilvl w:val="1"/>
          <w:numId w:val="15"/>
        </w:numPr>
        <w:spacing w:before="120" w:after="120"/>
        <w:rPr>
          <w:bCs/>
          <w:szCs w:val="18"/>
          <w:lang w:val="fi-FI"/>
        </w:rPr>
      </w:pPr>
      <w:r>
        <w:rPr>
          <w:bCs/>
          <w:szCs w:val="18"/>
          <w:lang w:val="fi-FI"/>
        </w:rPr>
        <w:t xml:space="preserve">For </w:t>
      </w:r>
      <w:r>
        <w:rPr>
          <w:bCs/>
          <w:lang w:val="fi-FI"/>
        </w:rPr>
        <w:t xml:space="preserve">discontiguous transmissions of PSFCH, the IBE on </w:t>
      </w:r>
      <w:r>
        <w:rPr>
          <w:bCs/>
          <w:szCs w:val="18"/>
          <w:lang w:val="fi-FI"/>
        </w:rPr>
        <w:t>non-allocation RBs transmission MPR/A-MPR could be higher compared to that of contiguous allocation of PSFCH.</w:t>
      </w:r>
    </w:p>
    <w:p w:rsidR="000F734B" w:rsidRDefault="00181331">
      <w:pPr>
        <w:spacing w:before="120" w:after="120"/>
        <w:rPr>
          <w:sz w:val="20"/>
        </w:rPr>
      </w:pPr>
      <w:r>
        <w:rPr>
          <w:rFonts w:hint="eastAsia"/>
          <w:sz w:val="20"/>
        </w:rPr>
        <w:t>For Rx/Tx collision, if N slots aggregation is always used when PSFCH period N&gt;1, then it is not a problem for PSFCH Rx/Tx collision. And if PSFCH period N&gt;1, and considering that the N slots aggregation is not always used, PSFCH Rx/Tx collision could be happen, and only one operation would be done due to the limitation of half-duplex. For priority comparison both TX/TX PSFCH collision and PSFCH TX/RX collision, we are agree that a lot of factors should be considered, such as the priority indication in SCI, cast-type, HARQ state, HARQ feedback option, number of (re)transmission of PSCCH/PSSCH .etc. But it is difficult to specify a common priority rule with so much factors considered, and it is more suitable to leave up to UE implementation.</w:t>
      </w:r>
    </w:p>
    <w:p w:rsidR="000F734B" w:rsidRDefault="00181331">
      <w:pPr>
        <w:pStyle w:val="YJ-Proposal"/>
        <w:spacing w:before="120" w:after="120"/>
        <w:rPr>
          <w:lang w:val="en-US" w:eastAsia="zh-CN"/>
        </w:rPr>
      </w:pPr>
      <w:bookmarkStart w:id="40" w:name="_Toc24078498"/>
      <w:bookmarkStart w:id="41" w:name="_Toc24125803"/>
      <w:bookmarkStart w:id="42" w:name="_Toc24126849"/>
      <w:r>
        <w:rPr>
          <w:rFonts w:hint="eastAsia"/>
          <w:lang w:val="en-US" w:eastAsia="zh-CN"/>
        </w:rPr>
        <w:t xml:space="preserve">For </w:t>
      </w:r>
      <w:r>
        <w:rPr>
          <w:lang w:eastAsia="ko-KR"/>
        </w:rPr>
        <w:t>simultaneous PSFCH transmission</w:t>
      </w:r>
      <w:r>
        <w:rPr>
          <w:rFonts w:hint="eastAsia"/>
          <w:lang w:val="en-US" w:eastAsia="zh-CN"/>
        </w:rPr>
        <w:t xml:space="preserve"> to the same UE or different UEs</w:t>
      </w:r>
      <w:r w:rsidR="005317AF">
        <w:rPr>
          <w:lang w:val="en-US" w:eastAsia="zh-CN"/>
        </w:rPr>
        <w:t xml:space="preserve"> subject to a maximum number of N PSFCHs</w:t>
      </w:r>
      <w:r>
        <w:rPr>
          <w:rFonts w:hint="eastAsia"/>
          <w:lang w:val="en-US" w:eastAsia="zh-CN"/>
        </w:rPr>
        <w:t xml:space="preserve">, it is up to UE implementation which </w:t>
      </w:r>
      <w:r>
        <w:t>N PSFCH(s)</w:t>
      </w:r>
      <w:r>
        <w:rPr>
          <w:rFonts w:hint="eastAsia"/>
          <w:lang w:val="en-US" w:eastAsia="zh-CN"/>
        </w:rPr>
        <w:t xml:space="preserve"> should be transmitted.</w:t>
      </w:r>
      <w:bookmarkEnd w:id="37"/>
      <w:bookmarkEnd w:id="38"/>
      <w:bookmarkEnd w:id="39"/>
      <w:bookmarkEnd w:id="40"/>
      <w:bookmarkEnd w:id="41"/>
      <w:bookmarkEnd w:id="42"/>
    </w:p>
    <w:p w:rsidR="000F734B" w:rsidRDefault="005317AF">
      <w:pPr>
        <w:pStyle w:val="YJ-Proposal"/>
        <w:spacing w:before="120" w:after="120"/>
        <w:rPr>
          <w:lang w:val="en-US" w:eastAsia="zh-CN"/>
        </w:rPr>
      </w:pPr>
      <w:bookmarkStart w:id="43" w:name="_Toc21877"/>
      <w:bookmarkStart w:id="44" w:name="_Toc28276"/>
      <w:bookmarkStart w:id="45" w:name="_Toc24283"/>
      <w:bookmarkStart w:id="46" w:name="_Toc24078499"/>
      <w:bookmarkStart w:id="47" w:name="_Toc24125804"/>
      <w:bookmarkStart w:id="48" w:name="_Toc24126850"/>
      <w:r>
        <w:rPr>
          <w:rFonts w:hint="eastAsia"/>
          <w:lang w:val="en-US" w:eastAsia="zh-CN"/>
        </w:rPr>
        <w:t xml:space="preserve">For the </w:t>
      </w:r>
      <w:r w:rsidR="00181331">
        <w:rPr>
          <w:rFonts w:hint="eastAsia"/>
          <w:lang w:val="en-US" w:eastAsia="zh-CN"/>
        </w:rPr>
        <w:t xml:space="preserve">PSFCH </w:t>
      </w:r>
      <w:r w:rsidR="00181331">
        <w:rPr>
          <w:rFonts w:hint="eastAsia"/>
        </w:rPr>
        <w:t>Tx</w:t>
      </w:r>
      <w:r w:rsidR="00181331">
        <w:rPr>
          <w:rFonts w:hint="eastAsia"/>
          <w:lang w:val="en-US" w:eastAsia="zh-CN"/>
        </w:rPr>
        <w:t>/Rx</w:t>
      </w:r>
      <w:r w:rsidR="00181331">
        <w:rPr>
          <w:rFonts w:hint="eastAsia"/>
        </w:rPr>
        <w:t xml:space="preserve"> </w:t>
      </w:r>
      <w:r w:rsidR="00181331">
        <w:rPr>
          <w:rFonts w:hint="eastAsia"/>
          <w:lang w:val="en-US" w:eastAsia="zh-CN"/>
        </w:rPr>
        <w:t>collision, it is u</w:t>
      </w:r>
      <w:r>
        <w:rPr>
          <w:rFonts w:hint="eastAsia"/>
          <w:lang w:val="en-US" w:eastAsia="zh-CN"/>
        </w:rPr>
        <w:t>p to UE implementation whether Tx or Rx is</w:t>
      </w:r>
      <w:r w:rsidR="00181331">
        <w:rPr>
          <w:rFonts w:hint="eastAsia"/>
          <w:lang w:val="en-US" w:eastAsia="zh-CN"/>
        </w:rPr>
        <w:t xml:space="preserve"> selected.</w:t>
      </w:r>
      <w:bookmarkEnd w:id="43"/>
      <w:bookmarkEnd w:id="44"/>
      <w:bookmarkEnd w:id="45"/>
      <w:bookmarkEnd w:id="46"/>
      <w:bookmarkEnd w:id="47"/>
      <w:bookmarkEnd w:id="48"/>
    </w:p>
    <w:p w:rsidR="000F734B" w:rsidRDefault="000F734B">
      <w:pPr>
        <w:pStyle w:val="YJ-Proposal"/>
        <w:numPr>
          <w:ilvl w:val="0"/>
          <w:numId w:val="0"/>
        </w:numPr>
        <w:spacing w:before="120" w:after="120"/>
        <w:rPr>
          <w:szCs w:val="22"/>
          <w:highlight w:val="yellow"/>
          <w:lang w:val="en-US" w:eastAsia="zh-CN"/>
        </w:rPr>
      </w:pPr>
    </w:p>
    <w:p w:rsidR="000F734B" w:rsidRDefault="00181331">
      <w:pPr>
        <w:pStyle w:val="Heading2"/>
        <w:spacing w:before="120" w:after="120"/>
        <w:ind w:left="991" w:right="210" w:hangingChars="354" w:hanging="991"/>
      </w:pPr>
      <w:r>
        <w:rPr>
          <w:rFonts w:hint="eastAsia"/>
        </w:rPr>
        <w:lastRenderedPageBreak/>
        <w:t>CBG based feedback</w:t>
      </w:r>
    </w:p>
    <w:p w:rsidR="000F734B" w:rsidRDefault="00181331">
      <w:pPr>
        <w:overflowPunct w:val="0"/>
        <w:autoSpaceDE w:val="0"/>
        <w:autoSpaceDN w:val="0"/>
        <w:adjustRightInd w:val="0"/>
        <w:snapToGrid w:val="0"/>
        <w:spacing w:before="120" w:after="120"/>
        <w:textAlignment w:val="baseline"/>
        <w:rPr>
          <w:kern w:val="0"/>
          <w:sz w:val="20"/>
        </w:rPr>
      </w:pPr>
      <w:r>
        <w:rPr>
          <w:rFonts w:hint="eastAsia"/>
          <w:kern w:val="0"/>
          <w:sz w:val="20"/>
        </w:rPr>
        <w:t>CBG based HARQ feedback is discussed during the SI, and t</w:t>
      </w:r>
      <w:r>
        <w:rPr>
          <w:rFonts w:eastAsia="Times New Roman"/>
          <w:kern w:val="0"/>
          <w:sz w:val="20"/>
          <w:lang w:val="en-GB" w:eastAsia="en-US"/>
        </w:rPr>
        <w:t>here is no consensus in supporting</w:t>
      </w:r>
      <w:r>
        <w:rPr>
          <w:rFonts w:hint="eastAsia"/>
          <w:kern w:val="0"/>
          <w:sz w:val="20"/>
        </w:rPr>
        <w:t xml:space="preserve"> this feature for sidelink unicast/groupcast. Basing on the following reasons, we prefer not to consider CBG based HARQ in release 16.</w:t>
      </w:r>
    </w:p>
    <w:p w:rsidR="000F734B" w:rsidRDefault="00181331">
      <w:pPr>
        <w:pStyle w:val="ListParagraph"/>
        <w:numPr>
          <w:ilvl w:val="0"/>
          <w:numId w:val="16"/>
        </w:numPr>
        <w:spacing w:before="120" w:after="120"/>
        <w:rPr>
          <w:rFonts w:eastAsia="SimSun"/>
          <w:sz w:val="20"/>
          <w:szCs w:val="20"/>
        </w:rPr>
      </w:pPr>
      <w:r>
        <w:rPr>
          <w:rFonts w:eastAsia="SimSun" w:hint="eastAsia"/>
          <w:sz w:val="20"/>
          <w:szCs w:val="20"/>
        </w:rPr>
        <w:t>As agreed in SI, an in-coverage mode 1 UE can only report an indication to gNB to indicate the need for retransmission of a TB, i.e., CBG based retransmission is not supported for mode 1.</w:t>
      </w:r>
    </w:p>
    <w:p w:rsidR="000F734B" w:rsidRDefault="00181331">
      <w:pPr>
        <w:pStyle w:val="ListParagraph"/>
        <w:numPr>
          <w:ilvl w:val="0"/>
          <w:numId w:val="16"/>
        </w:numPr>
        <w:spacing w:before="120" w:after="120"/>
        <w:rPr>
          <w:rFonts w:eastAsia="SimSun"/>
          <w:sz w:val="20"/>
          <w:szCs w:val="20"/>
        </w:rPr>
      </w:pPr>
      <w:r>
        <w:rPr>
          <w:rFonts w:eastAsia="SimSun" w:hint="eastAsia"/>
          <w:sz w:val="20"/>
          <w:szCs w:val="20"/>
        </w:rPr>
        <w:t>The benefit of supporting CBG based HARQ operation has not been justified for groupcast but certainly with larger HARQ feedback overhead.</w:t>
      </w:r>
    </w:p>
    <w:p w:rsidR="000F734B" w:rsidRDefault="00181331">
      <w:pPr>
        <w:pStyle w:val="ListParagraph"/>
        <w:numPr>
          <w:ilvl w:val="0"/>
          <w:numId w:val="16"/>
        </w:numPr>
        <w:spacing w:before="120" w:after="120"/>
        <w:rPr>
          <w:rFonts w:eastAsia="SimSun"/>
          <w:sz w:val="20"/>
          <w:szCs w:val="20"/>
        </w:rPr>
      </w:pPr>
      <w:r>
        <w:rPr>
          <w:rFonts w:eastAsia="SimSun" w:hint="eastAsia"/>
          <w:sz w:val="20"/>
          <w:szCs w:val="20"/>
        </w:rPr>
        <w:t>CBG-based operation would impact the design of SCI and PSFCH, causing additional normative work which are not ensured to be done in Rel-16 due to limited time for the WI, and CBG-based operation is just an enhancement instead of a fundamental feature.</w:t>
      </w:r>
    </w:p>
    <w:p w:rsidR="000F734B" w:rsidRDefault="005317AF">
      <w:pPr>
        <w:pStyle w:val="YJ-Proposal"/>
        <w:spacing w:before="120" w:after="120"/>
        <w:rPr>
          <w:lang w:val="en-US" w:eastAsia="zh-CN"/>
        </w:rPr>
      </w:pPr>
      <w:bookmarkStart w:id="49" w:name="_Toc11848"/>
      <w:bookmarkStart w:id="50" w:name="_Toc22730"/>
      <w:bookmarkStart w:id="51" w:name="_Toc15108"/>
      <w:bookmarkStart w:id="52" w:name="_Toc14888"/>
      <w:bookmarkStart w:id="53" w:name="_Toc16132"/>
      <w:bookmarkStart w:id="54" w:name="_Toc24078500"/>
      <w:bookmarkStart w:id="55" w:name="_Toc24125805"/>
      <w:bookmarkStart w:id="56" w:name="_Toc24126851"/>
      <w:r>
        <w:rPr>
          <w:rFonts w:eastAsia="SimSun" w:hint="eastAsia"/>
          <w:lang w:val="en-US" w:eastAsia="zh-CN"/>
        </w:rPr>
        <w:t>CBG-</w:t>
      </w:r>
      <w:r w:rsidR="00181331">
        <w:rPr>
          <w:rFonts w:eastAsia="SimSun" w:hint="eastAsia"/>
          <w:lang w:val="en-US" w:eastAsia="zh-CN"/>
        </w:rPr>
        <w:t xml:space="preserve">based HARQ feedback is not </w:t>
      </w:r>
      <w:r w:rsidR="00181331">
        <w:rPr>
          <w:rFonts w:eastAsia="SimSun"/>
          <w:lang w:val="en-US" w:eastAsia="zh-CN"/>
        </w:rPr>
        <w:t>supported</w:t>
      </w:r>
      <w:r w:rsidR="00181331">
        <w:rPr>
          <w:rFonts w:eastAsia="SimSun" w:hint="eastAsia"/>
          <w:lang w:val="en-US" w:eastAsia="zh-CN"/>
        </w:rPr>
        <w:t xml:space="preserve"> in Rel-16 V2X</w:t>
      </w:r>
      <w:bookmarkEnd w:id="49"/>
      <w:bookmarkEnd w:id="50"/>
      <w:r w:rsidR="00181331">
        <w:rPr>
          <w:rFonts w:eastAsia="SimSun"/>
          <w:lang w:val="en-US" w:eastAsia="zh-CN"/>
        </w:rPr>
        <w:t>.</w:t>
      </w:r>
      <w:bookmarkEnd w:id="51"/>
      <w:bookmarkEnd w:id="52"/>
      <w:bookmarkEnd w:id="53"/>
      <w:bookmarkEnd w:id="54"/>
      <w:bookmarkEnd w:id="55"/>
      <w:bookmarkEnd w:id="56"/>
    </w:p>
    <w:p w:rsidR="000F734B" w:rsidRDefault="00181331">
      <w:pPr>
        <w:pStyle w:val="Heading1"/>
        <w:spacing w:before="120" w:after="120"/>
        <w:ind w:left="0"/>
        <w:rPr>
          <w:szCs w:val="22"/>
        </w:rPr>
      </w:pPr>
      <w:bookmarkStart w:id="57" w:name="_Toc29400"/>
      <w:bookmarkStart w:id="58" w:name="_Toc525"/>
      <w:bookmarkStart w:id="59" w:name="_Toc82"/>
      <w:bookmarkEnd w:id="57"/>
      <w:bookmarkEnd w:id="58"/>
      <w:bookmarkEnd w:id="59"/>
      <w:r>
        <w:rPr>
          <w:rFonts w:hint="eastAsia"/>
          <w:szCs w:val="22"/>
        </w:rPr>
        <w:t>Power control</w:t>
      </w:r>
    </w:p>
    <w:p w:rsidR="000F734B" w:rsidRDefault="00181331">
      <w:pPr>
        <w:overflowPunct w:val="0"/>
        <w:autoSpaceDE w:val="0"/>
        <w:autoSpaceDN w:val="0"/>
        <w:adjustRightInd w:val="0"/>
        <w:snapToGrid w:val="0"/>
        <w:spacing w:before="120" w:after="120"/>
        <w:textAlignment w:val="baseline"/>
        <w:rPr>
          <w:sz w:val="20"/>
        </w:rPr>
      </w:pPr>
      <w:r>
        <w:rPr>
          <w:rFonts w:hint="eastAsia"/>
          <w:sz w:val="20"/>
        </w:rPr>
        <w:t xml:space="preserve">For SL-RSRP measurement/reporting for open-loop power control for PSCCH/PSSCH. L3 filtered SL RSRP is </w:t>
      </w:r>
      <w:r w:rsidR="00A55ACD">
        <w:rPr>
          <w:sz w:val="20"/>
        </w:rPr>
        <w:t>agreed to</w:t>
      </w:r>
      <w:r>
        <w:rPr>
          <w:rFonts w:hint="eastAsia"/>
          <w:sz w:val="20"/>
        </w:rPr>
        <w:t xml:space="preserve"> </w:t>
      </w:r>
      <w:r>
        <w:rPr>
          <w:sz w:val="20"/>
        </w:rPr>
        <w:t xml:space="preserve">be </w:t>
      </w:r>
      <w:r>
        <w:rPr>
          <w:rFonts w:hint="eastAsia"/>
          <w:sz w:val="20"/>
        </w:rPr>
        <w:t>reported at last meeting. But it would be some concern if the L3 filtering was done for RSRP while the TX power may be fluctuated at the TX UE side due to sidelink power control. To resolve this issue, two alte</w:t>
      </w:r>
      <w:r w:rsidR="00491F56">
        <w:rPr>
          <w:rFonts w:hint="eastAsia"/>
          <w:sz w:val="20"/>
        </w:rPr>
        <w:t>rnative solutions are discussed. O</w:t>
      </w:r>
      <w:r>
        <w:rPr>
          <w:rFonts w:hint="eastAsia"/>
          <w:sz w:val="20"/>
        </w:rPr>
        <w:t>ne alternative is tha</w:t>
      </w:r>
      <w:bookmarkStart w:id="60" w:name="_GoBack"/>
      <w:bookmarkEnd w:id="60"/>
      <w:r>
        <w:rPr>
          <w:rFonts w:hint="eastAsia"/>
          <w:sz w:val="20"/>
        </w:rPr>
        <w:t>t the Tx power of the RS transmitted by the Tx UE is indicated to the RX UE, and the other alternative is set some restrictions on TX UE</w:t>
      </w:r>
      <w:r>
        <w:rPr>
          <w:sz w:val="20"/>
        </w:rPr>
        <w:t>’</w:t>
      </w:r>
      <w:r>
        <w:rPr>
          <w:rFonts w:hint="eastAsia"/>
          <w:sz w:val="20"/>
        </w:rPr>
        <w:t>s transmit power change. From our point of view, the second alternative is difficult to apply on a carrier share with Uu, since the SL TX power control on such carrier is not only based on the SL pathloss but also based on the DL pathloss. So first alternative is slightly preferred. During the discussion, most companies also think that the power above is normalized with a certain bandwidth (e.g., a PRB or a sub-channel). Considering that the size of subchannel is not a fixed value, and it is simple</w:t>
      </w:r>
      <w:r w:rsidR="005317AF">
        <w:rPr>
          <w:sz w:val="20"/>
        </w:rPr>
        <w:t>r</w:t>
      </w:r>
      <w:r w:rsidR="005317AF">
        <w:rPr>
          <w:rFonts w:hint="eastAsia"/>
          <w:sz w:val="20"/>
        </w:rPr>
        <w:t xml:space="preserve"> </w:t>
      </w:r>
      <w:r>
        <w:rPr>
          <w:rFonts w:hint="eastAsia"/>
          <w:sz w:val="20"/>
        </w:rPr>
        <w:t xml:space="preserve">to use PRB as the normalized bandwidth of SL OLPC.  </w:t>
      </w:r>
    </w:p>
    <w:p w:rsidR="000F734B" w:rsidRDefault="00181331">
      <w:pPr>
        <w:pStyle w:val="YJ-Proposal"/>
        <w:spacing w:before="120" w:after="120"/>
        <w:rPr>
          <w:lang w:val="en-US" w:eastAsia="zh-CN"/>
        </w:rPr>
      </w:pPr>
      <w:r>
        <w:rPr>
          <w:rFonts w:hint="eastAsia"/>
        </w:rPr>
        <w:t xml:space="preserve"> </w:t>
      </w:r>
      <w:bookmarkStart w:id="61" w:name="_Toc24078501"/>
      <w:bookmarkStart w:id="62" w:name="_Toc24125806"/>
      <w:bookmarkStart w:id="63" w:name="_Toc24126852"/>
      <w:r>
        <w:rPr>
          <w:rFonts w:hint="eastAsia"/>
          <w:lang w:val="en-US" w:eastAsia="zh-CN"/>
        </w:rPr>
        <w:t>To resolve the T</w:t>
      </w:r>
      <w:r w:rsidR="005317AF">
        <w:rPr>
          <w:rFonts w:hint="eastAsia"/>
          <w:lang w:val="en-US" w:eastAsia="zh-CN"/>
        </w:rPr>
        <w:t xml:space="preserve">X power fluctuation, down-select from </w:t>
      </w:r>
      <w:r>
        <w:rPr>
          <w:rFonts w:hint="eastAsia"/>
          <w:lang w:val="en-US" w:eastAsia="zh-CN"/>
        </w:rPr>
        <w:t>the</w:t>
      </w:r>
      <w:r w:rsidR="005317AF">
        <w:rPr>
          <w:rFonts w:hint="eastAsia"/>
          <w:lang w:val="en-US" w:eastAsia="zh-CN"/>
        </w:rPr>
        <w:t xml:space="preserve"> following </w:t>
      </w:r>
      <w:r>
        <w:rPr>
          <w:rFonts w:hint="eastAsia"/>
          <w:lang w:val="en-US" w:eastAsia="zh-CN"/>
        </w:rPr>
        <w:t xml:space="preserve">two </w:t>
      </w:r>
      <w:r w:rsidR="005317AF">
        <w:rPr>
          <w:lang w:val="en-US" w:eastAsia="zh-CN"/>
        </w:rPr>
        <w:t xml:space="preserve">solution </w:t>
      </w:r>
      <w:r>
        <w:rPr>
          <w:rFonts w:hint="eastAsia"/>
          <w:lang w:val="en-US" w:eastAsia="zh-CN"/>
        </w:rPr>
        <w:t>alternatives:</w:t>
      </w:r>
      <w:bookmarkEnd w:id="61"/>
      <w:bookmarkEnd w:id="62"/>
      <w:bookmarkEnd w:id="63"/>
    </w:p>
    <w:p w:rsidR="000F734B" w:rsidRDefault="0006398D">
      <w:pPr>
        <w:pStyle w:val="subullet"/>
        <w:spacing w:before="120" w:after="120"/>
        <w:rPr>
          <w:rFonts w:hint="default"/>
        </w:rPr>
      </w:pPr>
      <w:bookmarkStart w:id="64" w:name="_Toc24078502"/>
      <w:bookmarkStart w:id="65" w:name="_Toc24125807"/>
      <w:bookmarkStart w:id="66" w:name="_Toc24126853"/>
      <w:r>
        <w:t>Alt1:</w:t>
      </w:r>
      <w:r w:rsidR="005317AF">
        <w:t xml:space="preserve"> the Tx</w:t>
      </w:r>
      <w:r w:rsidR="00181331">
        <w:t xml:space="preserve"> power of the RS is indicated to </w:t>
      </w:r>
      <w:r w:rsidR="005317AF">
        <w:rPr>
          <w:rFonts w:hint="default"/>
        </w:rPr>
        <w:t xml:space="preserve">the </w:t>
      </w:r>
      <w:r w:rsidR="00181331">
        <w:t>UE receiving RS.</w:t>
      </w:r>
      <w:bookmarkEnd w:id="64"/>
      <w:bookmarkEnd w:id="65"/>
      <w:bookmarkEnd w:id="66"/>
    </w:p>
    <w:p w:rsidR="000F734B" w:rsidRDefault="0006398D">
      <w:pPr>
        <w:pStyle w:val="subullet"/>
        <w:spacing w:before="120" w:after="120"/>
        <w:rPr>
          <w:rFonts w:hint="default"/>
        </w:rPr>
      </w:pPr>
      <w:bookmarkStart w:id="67" w:name="_Toc24078503"/>
      <w:bookmarkStart w:id="68" w:name="_Toc24125808"/>
      <w:bookmarkStart w:id="69" w:name="_Toc24126854"/>
      <w:r>
        <w:t>Alt2:</w:t>
      </w:r>
      <w:r w:rsidR="00181331">
        <w:t xml:space="preserve"> introduce additional restriction on transmit power change</w:t>
      </w:r>
      <w:r>
        <w:rPr>
          <w:rFonts w:hint="default"/>
        </w:rPr>
        <w:t>.</w:t>
      </w:r>
      <w:bookmarkEnd w:id="67"/>
      <w:bookmarkEnd w:id="68"/>
      <w:bookmarkEnd w:id="69"/>
    </w:p>
    <w:p w:rsidR="000F734B" w:rsidRDefault="00181331">
      <w:pPr>
        <w:pStyle w:val="YJ-Proposal"/>
        <w:spacing w:before="120" w:after="120"/>
        <w:rPr>
          <w:lang w:val="en-US" w:eastAsia="zh-CN"/>
        </w:rPr>
      </w:pPr>
      <w:bookmarkStart w:id="70" w:name="_Toc20610383"/>
      <w:bookmarkStart w:id="71" w:name="_Toc17935"/>
      <w:bookmarkStart w:id="72" w:name="_Toc22200"/>
      <w:bookmarkStart w:id="73" w:name="_Toc24078504"/>
      <w:bookmarkStart w:id="74" w:name="_Toc24125809"/>
      <w:bookmarkStart w:id="75" w:name="_Toc24126855"/>
      <w:r>
        <w:rPr>
          <w:rFonts w:hint="eastAsia"/>
        </w:rPr>
        <w:t>For S</w:t>
      </w:r>
      <w:r w:rsidR="005317AF">
        <w:rPr>
          <w:rFonts w:hint="eastAsia"/>
        </w:rPr>
        <w:t>L-RSRP measurement/reporting in</w:t>
      </w:r>
      <w:r>
        <w:rPr>
          <w:rFonts w:hint="eastAsia"/>
        </w:rPr>
        <w:t xml:space="preserve"> open-loop power control</w:t>
      </w:r>
      <w:bookmarkStart w:id="76" w:name="_Toc20610388"/>
      <w:bookmarkStart w:id="77" w:name="_Toc13598"/>
      <w:bookmarkStart w:id="78" w:name="_Toc9404"/>
      <w:bookmarkEnd w:id="70"/>
      <w:bookmarkEnd w:id="71"/>
      <w:bookmarkEnd w:id="72"/>
      <w:r>
        <w:rPr>
          <w:rFonts w:hint="eastAsia"/>
          <w:lang w:val="en-US" w:eastAsia="zh-CN"/>
        </w:rPr>
        <w:t>,</w:t>
      </w:r>
      <w:r>
        <w:rPr>
          <w:rFonts w:hint="eastAsia"/>
        </w:rPr>
        <w:t xml:space="preserve"> the power is normalized with a </w:t>
      </w:r>
      <w:r>
        <w:rPr>
          <w:rFonts w:hint="eastAsia"/>
          <w:lang w:val="en-US" w:eastAsia="zh-CN"/>
        </w:rPr>
        <w:t>PRB.</w:t>
      </w:r>
      <w:bookmarkEnd w:id="73"/>
      <w:bookmarkEnd w:id="74"/>
      <w:bookmarkEnd w:id="75"/>
      <w:bookmarkEnd w:id="76"/>
      <w:bookmarkEnd w:id="77"/>
      <w:bookmarkEnd w:id="78"/>
      <w:r>
        <w:rPr>
          <w:rFonts w:hint="eastAsia"/>
        </w:rPr>
        <w:t xml:space="preserve"> </w:t>
      </w:r>
    </w:p>
    <w:p w:rsidR="000F734B" w:rsidRDefault="00181331">
      <w:pPr>
        <w:spacing w:before="120" w:after="120"/>
        <w:rPr>
          <w:sz w:val="20"/>
        </w:rPr>
      </w:pPr>
      <w:r>
        <w:rPr>
          <w:rFonts w:hint="eastAsia"/>
          <w:sz w:val="20"/>
        </w:rPr>
        <w:t>For NR SL power control for PSCCH and PSSCH multiplexing option 3, an reply LS(R1-1903847) was received from RAN4 at RAN1#96bis meeting. From the LS, it can be seen that transient period is needed between symbols containing PSCCH and symbols not containing PSCCH if either the total transmit power or the power spectral density is different between the last symbol containing PSCCH and the following symbol. For PSCCH and PSSCH multiplexing option 3, either the total Tx Power or PSSCH EPRE would be different between the symbols containing PSCCH and the symbols only with PSSCH if PSCCH boosting was supported. So to avoid the transient period, we propose that power boosting for PSCCH is not supported for PSCCH and PSSCH multiplexing option 3. For the same reason, PSD boosting is also not supported for CSI-RS and PT-RS.</w:t>
      </w:r>
    </w:p>
    <w:p w:rsidR="000F734B" w:rsidRDefault="00181331">
      <w:pPr>
        <w:pStyle w:val="YJ-Proposal"/>
        <w:spacing w:before="120" w:after="120"/>
        <w:rPr>
          <w:lang w:val="en-US" w:eastAsia="zh-CN"/>
        </w:rPr>
      </w:pPr>
      <w:bookmarkStart w:id="79" w:name="_Toc15772"/>
      <w:bookmarkStart w:id="80" w:name="_Toc24375"/>
      <w:bookmarkStart w:id="81" w:name="_Toc20610390"/>
      <w:bookmarkStart w:id="82" w:name="_Toc21066"/>
      <w:bookmarkStart w:id="83" w:name="_Toc31759"/>
      <w:bookmarkStart w:id="84" w:name="_Toc24078505"/>
      <w:bookmarkStart w:id="85" w:name="_Toc24125810"/>
      <w:bookmarkStart w:id="86" w:name="_Toc24126856"/>
      <w:r>
        <w:rPr>
          <w:rFonts w:hint="eastAsia"/>
          <w:lang w:val="en-US" w:eastAsia="zh-CN"/>
        </w:rPr>
        <w:t>For PSCCH and PSSCH multiplexing option 3, p</w:t>
      </w:r>
      <w:r w:rsidR="005317AF">
        <w:rPr>
          <w:rFonts w:hint="eastAsia"/>
          <w:lang w:val="en-US" w:eastAsia="zh-CN"/>
        </w:rPr>
        <w:t>ower boosting for PSCCH, CSI-RS and</w:t>
      </w:r>
      <w:r>
        <w:rPr>
          <w:rFonts w:hint="eastAsia"/>
          <w:lang w:val="en-US" w:eastAsia="zh-CN"/>
        </w:rPr>
        <w:t xml:space="preserve"> PT-RS is not supported.</w:t>
      </w:r>
      <w:bookmarkEnd w:id="79"/>
      <w:bookmarkEnd w:id="80"/>
      <w:bookmarkEnd w:id="81"/>
      <w:bookmarkEnd w:id="82"/>
      <w:bookmarkEnd w:id="83"/>
      <w:bookmarkEnd w:id="84"/>
      <w:bookmarkEnd w:id="85"/>
      <w:bookmarkEnd w:id="86"/>
    </w:p>
    <w:p w:rsidR="000F734B" w:rsidRDefault="00181331">
      <w:pPr>
        <w:spacing w:before="120" w:after="120"/>
        <w:rPr>
          <w:sz w:val="20"/>
          <w:szCs w:val="22"/>
        </w:rPr>
      </w:pPr>
      <w:r>
        <w:rPr>
          <w:rFonts w:hint="eastAsia"/>
          <w:sz w:val="20"/>
          <w:szCs w:val="22"/>
        </w:rPr>
        <w:t xml:space="preserve">For power control of PSFCH, it </w:t>
      </w:r>
      <w:r>
        <w:rPr>
          <w:sz w:val="20"/>
          <w:szCs w:val="22"/>
        </w:rPr>
        <w:t>could be an overkill</w:t>
      </w:r>
      <w:r>
        <w:rPr>
          <w:rFonts w:hint="eastAsia"/>
          <w:sz w:val="20"/>
          <w:szCs w:val="22"/>
        </w:rPr>
        <w:t xml:space="preserve"> to use RSRP based feedback to perform power control, especially for groupcast feedback. The simple power control rule defined for SL broadcast could be reused for PSFCH, e.g., the SL open-loop power control of PSFCH could be configured to use DL pathloss without RSRP feedback via SL. So the WA of last meeting should be confirmed.</w:t>
      </w:r>
    </w:p>
    <w:p w:rsidR="000F734B" w:rsidRDefault="0006398D">
      <w:pPr>
        <w:pStyle w:val="YJ-Proposal"/>
        <w:spacing w:before="120" w:after="120"/>
        <w:rPr>
          <w:lang w:val="en-US" w:eastAsia="zh-CN"/>
        </w:rPr>
      </w:pPr>
      <w:bookmarkStart w:id="87" w:name="_Toc30128"/>
      <w:bookmarkStart w:id="88" w:name="_Toc20610391"/>
      <w:bookmarkStart w:id="89" w:name="_Toc26212"/>
      <w:bookmarkStart w:id="90" w:name="_Toc24078506"/>
      <w:bookmarkStart w:id="91" w:name="_Toc24125811"/>
      <w:bookmarkStart w:id="92" w:name="_Toc24126857"/>
      <w:r>
        <w:rPr>
          <w:rFonts w:eastAsia="SimSun" w:hint="eastAsia"/>
          <w:szCs w:val="22"/>
          <w:lang w:val="en-US" w:eastAsia="zh-CN"/>
        </w:rPr>
        <w:t>Confirm the WA that</w:t>
      </w:r>
      <w:r w:rsidR="00181331">
        <w:rPr>
          <w:rFonts w:eastAsia="SimSun" w:hint="eastAsia"/>
          <w:szCs w:val="22"/>
          <w:lang w:val="en-US" w:eastAsia="zh-CN"/>
        </w:rPr>
        <w:t xml:space="preserve"> sidelink pathloss based PSFCH power control is not supported</w:t>
      </w:r>
      <w:bookmarkEnd w:id="87"/>
      <w:bookmarkEnd w:id="88"/>
      <w:bookmarkEnd w:id="89"/>
      <w:bookmarkEnd w:id="90"/>
      <w:bookmarkEnd w:id="91"/>
      <w:bookmarkEnd w:id="92"/>
    </w:p>
    <w:p w:rsidR="000F734B" w:rsidRDefault="00181331">
      <w:pPr>
        <w:spacing w:before="120" w:after="120"/>
        <w:rPr>
          <w:sz w:val="20"/>
        </w:rPr>
      </w:pPr>
      <w:r>
        <w:rPr>
          <w:rFonts w:hint="eastAsia"/>
          <w:sz w:val="20"/>
        </w:rPr>
        <w:lastRenderedPageBreak/>
        <w:t xml:space="preserve">For applying SL pathloss based open-loop power control to groupcast, it may require SL RSRP feedbacks from all the RX UEs in the group to the TX UE, and in a group, every UE could be a TX UE, so it would create high </w:t>
      </w:r>
      <w:r>
        <w:rPr>
          <w:sz w:val="20"/>
        </w:rPr>
        <w:t>signaling</w:t>
      </w:r>
      <w:r>
        <w:rPr>
          <w:rFonts w:hint="eastAsia"/>
          <w:sz w:val="20"/>
        </w:rPr>
        <w:t xml:space="preserve"> overhead in the network. So the simple power control rule defined for SL broadcast could be reused for groupcast transmission, e.g., the SL open-loop power control of groupcast could be configured to use DL pathloss without RSRP feedback via SL.</w:t>
      </w:r>
    </w:p>
    <w:p w:rsidR="000F734B" w:rsidRDefault="00181331">
      <w:pPr>
        <w:pStyle w:val="YJ-Proposal"/>
        <w:spacing w:before="120" w:after="120"/>
        <w:rPr>
          <w:szCs w:val="22"/>
        </w:rPr>
      </w:pPr>
      <w:bookmarkStart w:id="93" w:name="_Toc20610392"/>
      <w:bookmarkStart w:id="94" w:name="_Toc21343"/>
      <w:bookmarkStart w:id="95" w:name="_Toc6066"/>
      <w:bookmarkStart w:id="96" w:name="_Toc24078507"/>
      <w:bookmarkStart w:id="97" w:name="_Toc24125812"/>
      <w:bookmarkStart w:id="98" w:name="_Toc24126858"/>
      <w:r>
        <w:rPr>
          <w:rFonts w:eastAsia="SimSun" w:hint="eastAsia"/>
          <w:lang w:val="en-US" w:eastAsia="zh-CN"/>
        </w:rPr>
        <w:t>F</w:t>
      </w:r>
      <w:r>
        <w:rPr>
          <w:rFonts w:eastAsia="SimSun" w:hint="eastAsia"/>
        </w:rPr>
        <w:t xml:space="preserve">or </w:t>
      </w:r>
      <w:r>
        <w:rPr>
          <w:rFonts w:eastAsia="SimSun" w:hint="eastAsia"/>
          <w:lang w:val="en-US" w:eastAsia="zh-CN"/>
        </w:rPr>
        <w:t>open-loop power control of groupcast, the rule defined for SL broadcast should be reused</w:t>
      </w:r>
      <w:r>
        <w:rPr>
          <w:rFonts w:hint="eastAsia"/>
          <w:lang w:val="en-US" w:eastAsia="zh-CN"/>
        </w:rPr>
        <w:t>.</w:t>
      </w:r>
      <w:bookmarkEnd w:id="93"/>
      <w:bookmarkEnd w:id="94"/>
      <w:bookmarkEnd w:id="95"/>
      <w:bookmarkEnd w:id="96"/>
      <w:bookmarkEnd w:id="97"/>
      <w:bookmarkEnd w:id="98"/>
    </w:p>
    <w:p w:rsidR="000F734B" w:rsidRDefault="00181331">
      <w:pPr>
        <w:pStyle w:val="Heading1"/>
        <w:spacing w:before="120" w:after="120"/>
        <w:ind w:left="0"/>
        <w:rPr>
          <w:rFonts w:eastAsia="SimSun"/>
        </w:rPr>
      </w:pPr>
      <w:r>
        <w:rPr>
          <w:rFonts w:eastAsia="SimSun" w:hint="eastAsia"/>
        </w:rPr>
        <w:t>Conclusion</w:t>
      </w:r>
    </w:p>
    <w:p w:rsidR="000F734B" w:rsidRDefault="00181331">
      <w:pPr>
        <w:snapToGrid w:val="0"/>
        <w:spacing w:before="120" w:after="120"/>
        <w:rPr>
          <w:szCs w:val="22"/>
        </w:rPr>
      </w:pPr>
      <w:r>
        <w:rPr>
          <w:rFonts w:cs="Arial"/>
          <w:sz w:val="20"/>
        </w:rPr>
        <w:t>T</w:t>
      </w:r>
      <w:r>
        <w:rPr>
          <w:rFonts w:cs="Arial" w:hint="eastAsia"/>
          <w:sz w:val="20"/>
        </w:rPr>
        <w:t xml:space="preserve">his </w:t>
      </w:r>
      <w:r>
        <w:rPr>
          <w:rFonts w:eastAsiaTheme="minorEastAsia" w:cs="Arial" w:hint="eastAsia"/>
          <w:sz w:val="20"/>
        </w:rPr>
        <w:t>paper</w:t>
      </w:r>
      <w:r>
        <w:rPr>
          <w:rFonts w:cs="Arial" w:hint="eastAsia"/>
          <w:sz w:val="20"/>
        </w:rPr>
        <w:t xml:space="preserve"> concludes with </w:t>
      </w:r>
      <w:r>
        <w:rPr>
          <w:rFonts w:eastAsiaTheme="minorEastAsia" w:cs="Arial" w:hint="eastAsia"/>
          <w:sz w:val="20"/>
        </w:rPr>
        <w:t>t</w:t>
      </w:r>
      <w:r>
        <w:rPr>
          <w:rFonts w:cs="Arial" w:hint="eastAsia"/>
          <w:sz w:val="20"/>
        </w:rPr>
        <w:t>he following observation and proposals.</w:t>
      </w:r>
    </w:p>
    <w:p w:rsidR="00D70142" w:rsidRDefault="00181331">
      <w:pPr>
        <w:pStyle w:val="TOC1"/>
        <w:tabs>
          <w:tab w:val="left" w:pos="1540"/>
          <w:tab w:val="right" w:pos="9650"/>
        </w:tabs>
        <w:spacing w:before="120" w:after="120"/>
        <w:rPr>
          <w:rFonts w:asciiTheme="minorHAnsi" w:hAnsiTheme="minorHAnsi" w:cstheme="minorBidi"/>
          <w:b w:val="0"/>
          <w:i w:val="0"/>
          <w:noProof/>
          <w:kern w:val="0"/>
          <w:sz w:val="22"/>
          <w:szCs w:val="22"/>
        </w:rPr>
      </w:pPr>
      <w:r>
        <w:rPr>
          <w:sz w:val="21"/>
          <w:szCs w:val="22"/>
        </w:rPr>
        <w:fldChar w:fldCharType="begin"/>
      </w:r>
      <w:r>
        <w:rPr>
          <w:sz w:val="21"/>
          <w:szCs w:val="22"/>
        </w:rPr>
        <w:instrText>TOC \n  \t "YJ-Observation,1" \h</w:instrText>
      </w:r>
      <w:r>
        <w:rPr>
          <w:sz w:val="21"/>
          <w:szCs w:val="22"/>
        </w:rPr>
        <w:fldChar w:fldCharType="separate"/>
      </w:r>
      <w:hyperlink w:anchor="_Toc24125899" w:history="1">
        <w:r w:rsidR="00D70142" w:rsidRPr="00EF63C9">
          <w:rPr>
            <w:rStyle w:val="Hyperlink"/>
            <w:rFonts w:eastAsia="SimSun"/>
            <w:noProof/>
          </w:rPr>
          <w:t>Observation 1:</w:t>
        </w:r>
        <w:r w:rsidR="00D70142">
          <w:rPr>
            <w:rFonts w:asciiTheme="minorHAnsi" w:hAnsiTheme="minorHAnsi" w:cstheme="minorBidi"/>
            <w:b w:val="0"/>
            <w:i w:val="0"/>
            <w:noProof/>
            <w:kern w:val="0"/>
            <w:sz w:val="22"/>
            <w:szCs w:val="22"/>
          </w:rPr>
          <w:tab/>
        </w:r>
        <w:r w:rsidR="00D70142" w:rsidRPr="00EF63C9">
          <w:rPr>
            <w:rStyle w:val="Hyperlink"/>
            <w:noProof/>
          </w:rPr>
          <w:t>For PSFCH resource selection for actual transmission, the benefit of using L1 source ID is not justified</w:t>
        </w:r>
        <w:r w:rsidR="00D70142" w:rsidRPr="00EF63C9">
          <w:rPr>
            <w:rStyle w:val="Hyperlink"/>
            <w:rFonts w:eastAsia="SimSun"/>
            <w:noProof/>
          </w:rPr>
          <w:t>.</w:t>
        </w:r>
      </w:hyperlink>
    </w:p>
    <w:p w:rsidR="005317AF" w:rsidRDefault="00181331">
      <w:pPr>
        <w:pStyle w:val="TOC1"/>
        <w:tabs>
          <w:tab w:val="right" w:pos="9660"/>
        </w:tabs>
        <w:spacing w:before="120" w:after="120"/>
        <w:rPr>
          <w:noProof/>
        </w:rPr>
      </w:pPr>
      <w:r>
        <w:rPr>
          <w:szCs w:val="22"/>
        </w:rPr>
        <w:fldChar w:fldCharType="end"/>
      </w:r>
      <w:r>
        <w:fldChar w:fldCharType="begin"/>
      </w:r>
      <w:r>
        <w:instrText>TOC \n  \t "YJ-Proposal,1,subullet,2,subsub,3"</w:instrText>
      </w:r>
      <w:r>
        <w:fldChar w:fldCharType="separate"/>
      </w:r>
    </w:p>
    <w:p w:rsidR="005317AF" w:rsidRDefault="005317AF">
      <w:pPr>
        <w:pStyle w:val="TOC1"/>
        <w:tabs>
          <w:tab w:val="left" w:pos="1282"/>
          <w:tab w:val="right" w:pos="9650"/>
        </w:tabs>
        <w:spacing w:before="120" w:after="120"/>
        <w:rPr>
          <w:rFonts w:asciiTheme="minorHAnsi" w:hAnsiTheme="minorHAnsi" w:cstheme="minorBidi"/>
          <w:b w:val="0"/>
          <w:i w:val="0"/>
          <w:noProof/>
          <w:kern w:val="0"/>
          <w:sz w:val="22"/>
          <w:szCs w:val="22"/>
        </w:rPr>
      </w:pPr>
      <w:r w:rsidRPr="005C3EB6">
        <w:rPr>
          <w:rFonts w:eastAsia="SimSun"/>
          <w:noProof/>
        </w:rPr>
        <w:t>Proposal 1:</w:t>
      </w:r>
      <w:r>
        <w:rPr>
          <w:rFonts w:asciiTheme="minorHAnsi" w:hAnsiTheme="minorHAnsi" w:cstheme="minorBidi"/>
          <w:b w:val="0"/>
          <w:i w:val="0"/>
          <w:noProof/>
          <w:kern w:val="0"/>
          <w:sz w:val="22"/>
          <w:szCs w:val="22"/>
        </w:rPr>
        <w:tab/>
      </w:r>
      <w:r w:rsidRPr="005C3EB6">
        <w:rPr>
          <w:rFonts w:eastAsia="SimSun"/>
          <w:noProof/>
        </w:rPr>
        <w:t>To support HARQ combination for broadcast, groupcast and unicast, L1 destination ID, HARQ process ID, RV, NDI and L1 source ID are always present in SCI.</w:t>
      </w:r>
    </w:p>
    <w:p w:rsidR="005317AF" w:rsidRDefault="005317AF">
      <w:pPr>
        <w:pStyle w:val="TOC1"/>
        <w:tabs>
          <w:tab w:val="left" w:pos="1282"/>
          <w:tab w:val="right" w:pos="9650"/>
        </w:tabs>
        <w:spacing w:before="120" w:after="120"/>
        <w:rPr>
          <w:rFonts w:asciiTheme="minorHAnsi" w:hAnsiTheme="minorHAnsi" w:cstheme="minorBidi"/>
          <w:b w:val="0"/>
          <w:i w:val="0"/>
          <w:noProof/>
          <w:kern w:val="0"/>
          <w:sz w:val="22"/>
          <w:szCs w:val="22"/>
        </w:rPr>
      </w:pPr>
      <w:r w:rsidRPr="005C3EB6">
        <w:rPr>
          <w:rFonts w:eastAsia="SimSun"/>
          <w:noProof/>
        </w:rPr>
        <w:t>Proposal 2:</w:t>
      </w:r>
      <w:r>
        <w:rPr>
          <w:rFonts w:asciiTheme="minorHAnsi" w:hAnsiTheme="minorHAnsi" w:cstheme="minorBidi"/>
          <w:b w:val="0"/>
          <w:i w:val="0"/>
          <w:noProof/>
          <w:kern w:val="0"/>
          <w:sz w:val="22"/>
          <w:szCs w:val="22"/>
        </w:rPr>
        <w:tab/>
      </w:r>
      <w:r w:rsidRPr="005C3EB6">
        <w:rPr>
          <w:rFonts w:eastAsia="SimSun"/>
          <w:noProof/>
        </w:rPr>
        <w:t>L1 source ID should be conveyed in SCI contents rather than being scrambled in CRC.</w:t>
      </w:r>
    </w:p>
    <w:p w:rsidR="005317AF" w:rsidRDefault="005317AF">
      <w:pPr>
        <w:pStyle w:val="TOC1"/>
        <w:tabs>
          <w:tab w:val="left" w:pos="1282"/>
          <w:tab w:val="right" w:pos="9650"/>
        </w:tabs>
        <w:spacing w:before="120" w:after="120"/>
        <w:rPr>
          <w:rFonts w:asciiTheme="minorHAnsi" w:hAnsiTheme="minorHAnsi" w:cstheme="minorBidi"/>
          <w:b w:val="0"/>
          <w:i w:val="0"/>
          <w:noProof/>
          <w:kern w:val="0"/>
          <w:sz w:val="22"/>
          <w:szCs w:val="22"/>
        </w:rPr>
      </w:pPr>
      <w:r w:rsidRPr="005C3EB6">
        <w:rPr>
          <w:rFonts w:eastAsia="SimSun"/>
          <w:noProof/>
        </w:rPr>
        <w:t>Proposal 3:</w:t>
      </w:r>
      <w:r>
        <w:rPr>
          <w:rFonts w:asciiTheme="minorHAnsi" w:hAnsiTheme="minorHAnsi" w:cstheme="minorBidi"/>
          <w:b w:val="0"/>
          <w:i w:val="0"/>
          <w:noProof/>
          <w:kern w:val="0"/>
          <w:sz w:val="22"/>
          <w:szCs w:val="22"/>
        </w:rPr>
        <w:tab/>
      </w:r>
      <w:r w:rsidRPr="005C3EB6">
        <w:rPr>
          <w:noProof/>
        </w:rPr>
        <w:t xml:space="preserve">Rel-16 V2X does not support </w:t>
      </w:r>
      <w:r>
        <w:rPr>
          <w:noProof/>
        </w:rPr>
        <w:t xml:space="preserve">CDM-based </w:t>
      </w:r>
      <w:r w:rsidRPr="005C3EB6">
        <w:rPr>
          <w:noProof/>
        </w:rPr>
        <w:t>PSFCH multiplexing.</w:t>
      </w:r>
    </w:p>
    <w:p w:rsidR="005317AF" w:rsidRDefault="005317AF">
      <w:pPr>
        <w:pStyle w:val="TOC1"/>
        <w:tabs>
          <w:tab w:val="left" w:pos="1282"/>
          <w:tab w:val="right" w:pos="9650"/>
        </w:tabs>
        <w:spacing w:before="120" w:after="120"/>
        <w:rPr>
          <w:rFonts w:asciiTheme="minorHAnsi" w:hAnsiTheme="minorHAnsi" w:cstheme="minorBidi"/>
          <w:b w:val="0"/>
          <w:i w:val="0"/>
          <w:noProof/>
          <w:kern w:val="0"/>
          <w:sz w:val="22"/>
          <w:szCs w:val="22"/>
        </w:rPr>
      </w:pPr>
      <w:r w:rsidRPr="005C3EB6">
        <w:rPr>
          <w:rFonts w:eastAsia="SimSun"/>
          <w:noProof/>
        </w:rPr>
        <w:t>Proposal 4:</w:t>
      </w:r>
      <w:r>
        <w:rPr>
          <w:rFonts w:asciiTheme="minorHAnsi" w:hAnsiTheme="minorHAnsi" w:cstheme="minorBidi"/>
          <w:b w:val="0"/>
          <w:i w:val="0"/>
          <w:noProof/>
          <w:kern w:val="0"/>
          <w:sz w:val="22"/>
          <w:szCs w:val="22"/>
        </w:rPr>
        <w:tab/>
      </w:r>
      <w:r w:rsidRPr="005C3EB6">
        <w:rPr>
          <w:noProof/>
        </w:rPr>
        <w:t>In addition to the starting sub-channel index and slot index of PSSCH, the number of occupied PSSCH subchannles is also used in determination of the corresponding PSFCH candidate resources.</w:t>
      </w:r>
    </w:p>
    <w:p w:rsidR="005317AF" w:rsidRDefault="005317AF">
      <w:pPr>
        <w:pStyle w:val="TOC1"/>
        <w:tabs>
          <w:tab w:val="left" w:pos="1282"/>
          <w:tab w:val="right" w:pos="9650"/>
        </w:tabs>
        <w:spacing w:before="120" w:after="120"/>
        <w:rPr>
          <w:rFonts w:asciiTheme="minorHAnsi" w:hAnsiTheme="minorHAnsi" w:cstheme="minorBidi"/>
          <w:b w:val="0"/>
          <w:i w:val="0"/>
          <w:noProof/>
          <w:kern w:val="0"/>
          <w:sz w:val="22"/>
          <w:szCs w:val="22"/>
        </w:rPr>
      </w:pPr>
      <w:r w:rsidRPr="005C3EB6">
        <w:rPr>
          <w:rFonts w:eastAsia="SimSun"/>
          <w:noProof/>
        </w:rPr>
        <w:t>Proposal 5:</w:t>
      </w:r>
      <w:r>
        <w:rPr>
          <w:rFonts w:asciiTheme="minorHAnsi" w:hAnsiTheme="minorHAnsi" w:cstheme="minorBidi"/>
          <w:b w:val="0"/>
          <w:i w:val="0"/>
          <w:noProof/>
          <w:kern w:val="0"/>
          <w:sz w:val="22"/>
          <w:szCs w:val="22"/>
        </w:rPr>
        <w:tab/>
      </w:r>
      <w:r w:rsidRPr="005C3EB6">
        <w:rPr>
          <w:noProof/>
        </w:rPr>
        <w:t>All the determined PSFCH candidate resources for a PSSCH should be within the subchannel(s) of the PSSCH.</w:t>
      </w:r>
    </w:p>
    <w:p w:rsidR="005317AF" w:rsidRDefault="005317AF">
      <w:pPr>
        <w:pStyle w:val="TOC1"/>
        <w:tabs>
          <w:tab w:val="left" w:pos="1282"/>
          <w:tab w:val="right" w:pos="9650"/>
        </w:tabs>
        <w:spacing w:before="120" w:after="120"/>
        <w:rPr>
          <w:rFonts w:asciiTheme="minorHAnsi" w:hAnsiTheme="minorHAnsi" w:cstheme="minorBidi"/>
          <w:b w:val="0"/>
          <w:i w:val="0"/>
          <w:noProof/>
          <w:kern w:val="0"/>
          <w:sz w:val="22"/>
          <w:szCs w:val="22"/>
        </w:rPr>
      </w:pPr>
      <w:r w:rsidRPr="005C3EB6">
        <w:rPr>
          <w:rFonts w:eastAsia="SimSun"/>
          <w:noProof/>
        </w:rPr>
        <w:t>Proposal 6:</w:t>
      </w:r>
      <w:r>
        <w:rPr>
          <w:rFonts w:asciiTheme="minorHAnsi" w:hAnsiTheme="minorHAnsi" w:cstheme="minorBidi"/>
          <w:b w:val="0"/>
          <w:i w:val="0"/>
          <w:noProof/>
          <w:kern w:val="0"/>
          <w:sz w:val="22"/>
          <w:szCs w:val="22"/>
        </w:rPr>
        <w:tab/>
      </w:r>
      <w:r w:rsidRPr="005C3EB6">
        <w:rPr>
          <w:noProof/>
        </w:rPr>
        <w:t>L1 source ID is not used for PSFCH resource selection.</w:t>
      </w:r>
    </w:p>
    <w:p w:rsidR="005317AF" w:rsidRDefault="005317AF">
      <w:pPr>
        <w:pStyle w:val="TOC1"/>
        <w:tabs>
          <w:tab w:val="left" w:pos="1282"/>
          <w:tab w:val="right" w:pos="9650"/>
        </w:tabs>
        <w:spacing w:before="120" w:after="120"/>
        <w:rPr>
          <w:rFonts w:asciiTheme="minorHAnsi" w:hAnsiTheme="minorHAnsi" w:cstheme="minorBidi"/>
          <w:b w:val="0"/>
          <w:i w:val="0"/>
          <w:noProof/>
          <w:kern w:val="0"/>
          <w:sz w:val="22"/>
          <w:szCs w:val="22"/>
        </w:rPr>
      </w:pPr>
      <w:r w:rsidRPr="005C3EB6">
        <w:rPr>
          <w:rFonts w:eastAsia="SimSun"/>
          <w:noProof/>
        </w:rPr>
        <w:t>Proposal 7:</w:t>
      </w:r>
      <w:r>
        <w:rPr>
          <w:rFonts w:asciiTheme="minorHAnsi" w:hAnsiTheme="minorHAnsi" w:cstheme="minorBidi"/>
          <w:b w:val="0"/>
          <w:i w:val="0"/>
          <w:noProof/>
          <w:kern w:val="0"/>
          <w:sz w:val="22"/>
          <w:szCs w:val="22"/>
        </w:rPr>
        <w:tab/>
      </w:r>
      <w:r w:rsidRPr="005C3EB6">
        <w:rPr>
          <w:noProof/>
        </w:rPr>
        <w:t>For the actual PSFCH resource(s) selection in unicast and groupcast option 1, down-select form the following two alternatives:</w:t>
      </w:r>
    </w:p>
    <w:p w:rsidR="005317AF" w:rsidRDefault="005317AF">
      <w:pPr>
        <w:pStyle w:val="TOC2"/>
        <w:tabs>
          <w:tab w:val="left" w:pos="1282"/>
          <w:tab w:val="right" w:pos="9650"/>
        </w:tabs>
        <w:spacing w:before="120" w:after="120"/>
        <w:rPr>
          <w:rFonts w:asciiTheme="minorHAnsi" w:eastAsiaTheme="minorEastAsia" w:hAnsiTheme="minorHAnsi" w:cstheme="minorBidi"/>
          <w:b w:val="0"/>
          <w:i w:val="0"/>
          <w:noProof/>
          <w:kern w:val="0"/>
          <w:sz w:val="22"/>
          <w:szCs w:val="22"/>
        </w:rPr>
      </w:pPr>
      <w:r w:rsidRPr="005C3EB6">
        <w:rPr>
          <w:rFonts w:ascii="Arial" w:hAnsi="Arial" w:cs="Arial"/>
          <w:noProof/>
        </w:rPr>
        <w:t>•</w:t>
      </w:r>
      <w:r>
        <w:rPr>
          <w:rFonts w:asciiTheme="minorHAnsi" w:eastAsiaTheme="minorEastAsia" w:hAnsiTheme="minorHAnsi" w:cstheme="minorBidi"/>
          <w:b w:val="0"/>
          <w:i w:val="0"/>
          <w:noProof/>
          <w:kern w:val="0"/>
          <w:sz w:val="22"/>
          <w:szCs w:val="22"/>
        </w:rPr>
        <w:tab/>
      </w:r>
      <w:r>
        <w:rPr>
          <w:noProof/>
        </w:rPr>
        <w:t>Alt1: fixed at one PRB, e.g., the lowest PRB of the determined PSFCH candidate resources.</w:t>
      </w:r>
    </w:p>
    <w:p w:rsidR="005317AF" w:rsidRDefault="005317AF">
      <w:pPr>
        <w:pStyle w:val="TOC2"/>
        <w:tabs>
          <w:tab w:val="left" w:pos="1282"/>
          <w:tab w:val="right" w:pos="9650"/>
        </w:tabs>
        <w:spacing w:before="120" w:after="120"/>
        <w:rPr>
          <w:rFonts w:asciiTheme="minorHAnsi" w:eastAsiaTheme="minorEastAsia" w:hAnsiTheme="minorHAnsi" w:cstheme="minorBidi"/>
          <w:b w:val="0"/>
          <w:i w:val="0"/>
          <w:noProof/>
          <w:kern w:val="0"/>
          <w:sz w:val="22"/>
          <w:szCs w:val="22"/>
        </w:rPr>
      </w:pPr>
      <w:r w:rsidRPr="005C3EB6">
        <w:rPr>
          <w:rFonts w:ascii="Arial" w:hAnsi="Arial" w:cs="Arial"/>
          <w:noProof/>
        </w:rPr>
        <w:t>•</w:t>
      </w:r>
      <w:r>
        <w:rPr>
          <w:rFonts w:asciiTheme="minorHAnsi" w:eastAsiaTheme="minorEastAsia" w:hAnsiTheme="minorHAnsi" w:cstheme="minorBidi"/>
          <w:b w:val="0"/>
          <w:i w:val="0"/>
          <w:noProof/>
          <w:kern w:val="0"/>
          <w:sz w:val="22"/>
          <w:szCs w:val="22"/>
        </w:rPr>
        <w:tab/>
      </w:r>
      <w:r>
        <w:rPr>
          <w:noProof/>
        </w:rPr>
        <w:t>Alt2: perform PRB repetition to occupy all the PRBs of the determined PSFCH candidate resources</w:t>
      </w:r>
    </w:p>
    <w:p w:rsidR="005317AF" w:rsidRDefault="005317AF">
      <w:pPr>
        <w:pStyle w:val="TOC1"/>
        <w:tabs>
          <w:tab w:val="left" w:pos="1282"/>
          <w:tab w:val="right" w:pos="9650"/>
        </w:tabs>
        <w:spacing w:before="120" w:after="120"/>
        <w:rPr>
          <w:rFonts w:asciiTheme="minorHAnsi" w:hAnsiTheme="minorHAnsi" w:cstheme="minorBidi"/>
          <w:b w:val="0"/>
          <w:i w:val="0"/>
          <w:noProof/>
          <w:kern w:val="0"/>
          <w:sz w:val="22"/>
          <w:szCs w:val="22"/>
        </w:rPr>
      </w:pPr>
      <w:r w:rsidRPr="005C3EB6">
        <w:rPr>
          <w:rFonts w:eastAsia="SimSun"/>
          <w:noProof/>
        </w:rPr>
        <w:t>Proposal 8:</w:t>
      </w:r>
      <w:r>
        <w:rPr>
          <w:rFonts w:asciiTheme="minorHAnsi" w:hAnsiTheme="minorHAnsi" w:cstheme="minorBidi"/>
          <w:b w:val="0"/>
          <w:i w:val="0"/>
          <w:noProof/>
          <w:kern w:val="0"/>
          <w:sz w:val="22"/>
          <w:szCs w:val="22"/>
        </w:rPr>
        <w:tab/>
      </w:r>
      <w:r w:rsidRPr="005C3EB6">
        <w:rPr>
          <w:noProof/>
        </w:rPr>
        <w:t xml:space="preserve">For </w:t>
      </w:r>
      <w:r>
        <w:rPr>
          <w:noProof/>
          <w:lang w:eastAsia="ko-KR"/>
        </w:rPr>
        <w:t>simultaneous PSFCH transmission</w:t>
      </w:r>
      <w:r w:rsidRPr="005C3EB6">
        <w:rPr>
          <w:noProof/>
        </w:rPr>
        <w:t xml:space="preserve"> to the same UE or different UEs subject to a maximum number of N PSFCHs, it is up to UE implementation which </w:t>
      </w:r>
      <w:r>
        <w:rPr>
          <w:noProof/>
        </w:rPr>
        <w:t>N PSFCH(s)</w:t>
      </w:r>
      <w:r w:rsidRPr="005C3EB6">
        <w:rPr>
          <w:noProof/>
        </w:rPr>
        <w:t xml:space="preserve"> should be transmitted.</w:t>
      </w:r>
    </w:p>
    <w:p w:rsidR="005317AF" w:rsidRDefault="005317AF">
      <w:pPr>
        <w:pStyle w:val="TOC1"/>
        <w:tabs>
          <w:tab w:val="left" w:pos="1282"/>
          <w:tab w:val="right" w:pos="9650"/>
        </w:tabs>
        <w:spacing w:before="120" w:after="120"/>
        <w:rPr>
          <w:rFonts w:asciiTheme="minorHAnsi" w:hAnsiTheme="minorHAnsi" w:cstheme="minorBidi"/>
          <w:b w:val="0"/>
          <w:i w:val="0"/>
          <w:noProof/>
          <w:kern w:val="0"/>
          <w:sz w:val="22"/>
          <w:szCs w:val="22"/>
        </w:rPr>
      </w:pPr>
      <w:r w:rsidRPr="005C3EB6">
        <w:rPr>
          <w:rFonts w:eastAsia="SimSun"/>
          <w:noProof/>
        </w:rPr>
        <w:t>Proposal 9:</w:t>
      </w:r>
      <w:r>
        <w:rPr>
          <w:rFonts w:asciiTheme="minorHAnsi" w:hAnsiTheme="minorHAnsi" w:cstheme="minorBidi"/>
          <w:b w:val="0"/>
          <w:i w:val="0"/>
          <w:noProof/>
          <w:kern w:val="0"/>
          <w:sz w:val="22"/>
          <w:szCs w:val="22"/>
        </w:rPr>
        <w:tab/>
      </w:r>
      <w:r w:rsidRPr="005C3EB6">
        <w:rPr>
          <w:noProof/>
        </w:rPr>
        <w:t xml:space="preserve">For the PSFCH </w:t>
      </w:r>
      <w:r>
        <w:rPr>
          <w:noProof/>
        </w:rPr>
        <w:t>Tx</w:t>
      </w:r>
      <w:r w:rsidRPr="005C3EB6">
        <w:rPr>
          <w:noProof/>
        </w:rPr>
        <w:t>/Rx</w:t>
      </w:r>
      <w:r>
        <w:rPr>
          <w:noProof/>
        </w:rPr>
        <w:t xml:space="preserve"> </w:t>
      </w:r>
      <w:r w:rsidRPr="005C3EB6">
        <w:rPr>
          <w:noProof/>
        </w:rPr>
        <w:t>collision, it is up to UE implementation whether Tx or Rx is selected.</w:t>
      </w:r>
    </w:p>
    <w:p w:rsidR="005317AF" w:rsidRDefault="005317AF">
      <w:pPr>
        <w:pStyle w:val="TOC1"/>
        <w:tabs>
          <w:tab w:val="left" w:pos="1282"/>
          <w:tab w:val="right" w:pos="9650"/>
        </w:tabs>
        <w:spacing w:before="120" w:after="120"/>
        <w:rPr>
          <w:rFonts w:asciiTheme="minorHAnsi" w:hAnsiTheme="minorHAnsi" w:cstheme="minorBidi"/>
          <w:b w:val="0"/>
          <w:i w:val="0"/>
          <w:noProof/>
          <w:kern w:val="0"/>
          <w:sz w:val="22"/>
          <w:szCs w:val="22"/>
        </w:rPr>
      </w:pPr>
      <w:r w:rsidRPr="005C3EB6">
        <w:rPr>
          <w:rFonts w:eastAsia="SimSun"/>
          <w:noProof/>
        </w:rPr>
        <w:t>Proposal 10:</w:t>
      </w:r>
      <w:r>
        <w:rPr>
          <w:rFonts w:asciiTheme="minorHAnsi" w:hAnsiTheme="minorHAnsi" w:cstheme="minorBidi"/>
          <w:b w:val="0"/>
          <w:i w:val="0"/>
          <w:noProof/>
          <w:kern w:val="0"/>
          <w:sz w:val="22"/>
          <w:szCs w:val="22"/>
        </w:rPr>
        <w:tab/>
      </w:r>
      <w:r w:rsidRPr="005C3EB6">
        <w:rPr>
          <w:rFonts w:eastAsia="SimSun"/>
          <w:noProof/>
        </w:rPr>
        <w:t>CBG-based HARQ feedback is not supported in Rel-16 V2X.</w:t>
      </w:r>
    </w:p>
    <w:p w:rsidR="005317AF" w:rsidRDefault="005317AF">
      <w:pPr>
        <w:pStyle w:val="TOC1"/>
        <w:tabs>
          <w:tab w:val="left" w:pos="1282"/>
          <w:tab w:val="right" w:pos="9650"/>
        </w:tabs>
        <w:spacing w:before="120" w:after="120"/>
        <w:rPr>
          <w:rFonts w:asciiTheme="minorHAnsi" w:hAnsiTheme="minorHAnsi" w:cstheme="minorBidi"/>
          <w:b w:val="0"/>
          <w:i w:val="0"/>
          <w:noProof/>
          <w:kern w:val="0"/>
          <w:sz w:val="22"/>
          <w:szCs w:val="22"/>
        </w:rPr>
      </w:pPr>
      <w:r w:rsidRPr="005C3EB6">
        <w:rPr>
          <w:rFonts w:eastAsia="SimSun"/>
          <w:noProof/>
        </w:rPr>
        <w:t>Proposal 11:</w:t>
      </w:r>
      <w:r>
        <w:rPr>
          <w:rFonts w:asciiTheme="minorHAnsi" w:hAnsiTheme="minorHAnsi" w:cstheme="minorBidi"/>
          <w:b w:val="0"/>
          <w:i w:val="0"/>
          <w:noProof/>
          <w:kern w:val="0"/>
          <w:sz w:val="22"/>
          <w:szCs w:val="22"/>
        </w:rPr>
        <w:tab/>
      </w:r>
      <w:r w:rsidRPr="005C3EB6">
        <w:rPr>
          <w:noProof/>
        </w:rPr>
        <w:t>To resolve the TX power fluctuation, down-select from the following two solution alternatives:</w:t>
      </w:r>
    </w:p>
    <w:p w:rsidR="005317AF" w:rsidRDefault="005317AF">
      <w:pPr>
        <w:pStyle w:val="TOC2"/>
        <w:tabs>
          <w:tab w:val="left" w:pos="1282"/>
          <w:tab w:val="right" w:pos="9650"/>
        </w:tabs>
        <w:spacing w:before="120" w:after="120"/>
        <w:rPr>
          <w:rFonts w:asciiTheme="minorHAnsi" w:eastAsiaTheme="minorEastAsia" w:hAnsiTheme="minorHAnsi" w:cstheme="minorBidi"/>
          <w:b w:val="0"/>
          <w:i w:val="0"/>
          <w:noProof/>
          <w:kern w:val="0"/>
          <w:sz w:val="22"/>
          <w:szCs w:val="22"/>
        </w:rPr>
      </w:pPr>
      <w:r w:rsidRPr="005C3EB6">
        <w:rPr>
          <w:rFonts w:ascii="Arial" w:hAnsi="Arial" w:cs="Arial"/>
          <w:noProof/>
        </w:rPr>
        <w:t>•</w:t>
      </w:r>
      <w:r>
        <w:rPr>
          <w:rFonts w:asciiTheme="minorHAnsi" w:eastAsiaTheme="minorEastAsia" w:hAnsiTheme="minorHAnsi" w:cstheme="minorBidi"/>
          <w:b w:val="0"/>
          <w:i w:val="0"/>
          <w:noProof/>
          <w:kern w:val="0"/>
          <w:sz w:val="22"/>
          <w:szCs w:val="22"/>
        </w:rPr>
        <w:tab/>
      </w:r>
      <w:r>
        <w:rPr>
          <w:noProof/>
        </w:rPr>
        <w:t>Alt1: the Tx power of the RS is indicated to the UE receiving RS.</w:t>
      </w:r>
    </w:p>
    <w:p w:rsidR="005317AF" w:rsidRDefault="005317AF">
      <w:pPr>
        <w:pStyle w:val="TOC2"/>
        <w:tabs>
          <w:tab w:val="left" w:pos="1282"/>
          <w:tab w:val="right" w:pos="9650"/>
        </w:tabs>
        <w:spacing w:before="120" w:after="120"/>
        <w:rPr>
          <w:rFonts w:asciiTheme="minorHAnsi" w:eastAsiaTheme="minorEastAsia" w:hAnsiTheme="minorHAnsi" w:cstheme="minorBidi"/>
          <w:b w:val="0"/>
          <w:i w:val="0"/>
          <w:noProof/>
          <w:kern w:val="0"/>
          <w:sz w:val="22"/>
          <w:szCs w:val="22"/>
        </w:rPr>
      </w:pPr>
      <w:r w:rsidRPr="005C3EB6">
        <w:rPr>
          <w:rFonts w:ascii="Arial" w:hAnsi="Arial" w:cs="Arial"/>
          <w:noProof/>
        </w:rPr>
        <w:t>•</w:t>
      </w:r>
      <w:r>
        <w:rPr>
          <w:rFonts w:asciiTheme="minorHAnsi" w:eastAsiaTheme="minorEastAsia" w:hAnsiTheme="minorHAnsi" w:cstheme="minorBidi"/>
          <w:b w:val="0"/>
          <w:i w:val="0"/>
          <w:noProof/>
          <w:kern w:val="0"/>
          <w:sz w:val="22"/>
          <w:szCs w:val="22"/>
        </w:rPr>
        <w:tab/>
      </w:r>
      <w:r>
        <w:rPr>
          <w:noProof/>
        </w:rPr>
        <w:t>Alt2: introduce additional restriction on transmit power change.</w:t>
      </w:r>
    </w:p>
    <w:p w:rsidR="005317AF" w:rsidRDefault="005317AF">
      <w:pPr>
        <w:pStyle w:val="TOC1"/>
        <w:tabs>
          <w:tab w:val="left" w:pos="1320"/>
          <w:tab w:val="right" w:pos="9650"/>
        </w:tabs>
        <w:spacing w:before="120" w:after="120"/>
        <w:rPr>
          <w:rFonts w:asciiTheme="minorHAnsi" w:hAnsiTheme="minorHAnsi" w:cstheme="minorBidi"/>
          <w:b w:val="0"/>
          <w:i w:val="0"/>
          <w:noProof/>
          <w:kern w:val="0"/>
          <w:sz w:val="22"/>
          <w:szCs w:val="22"/>
        </w:rPr>
      </w:pPr>
      <w:r w:rsidRPr="005C3EB6">
        <w:rPr>
          <w:rFonts w:eastAsia="SimSun"/>
          <w:noProof/>
        </w:rPr>
        <w:t>Proposal 12:</w:t>
      </w:r>
      <w:r>
        <w:rPr>
          <w:rFonts w:asciiTheme="minorHAnsi" w:hAnsiTheme="minorHAnsi" w:cstheme="minorBidi"/>
          <w:b w:val="0"/>
          <w:i w:val="0"/>
          <w:noProof/>
          <w:kern w:val="0"/>
          <w:sz w:val="22"/>
          <w:szCs w:val="22"/>
        </w:rPr>
        <w:tab/>
      </w:r>
      <w:r>
        <w:rPr>
          <w:noProof/>
        </w:rPr>
        <w:t>For SL-RSRP measurement/reporting in open-loop power control</w:t>
      </w:r>
      <w:r w:rsidRPr="005C3EB6">
        <w:rPr>
          <w:noProof/>
        </w:rPr>
        <w:t>,</w:t>
      </w:r>
      <w:r>
        <w:rPr>
          <w:noProof/>
        </w:rPr>
        <w:t xml:space="preserve"> the power is normalized with a </w:t>
      </w:r>
      <w:r w:rsidRPr="005C3EB6">
        <w:rPr>
          <w:noProof/>
        </w:rPr>
        <w:t>PRB.</w:t>
      </w:r>
    </w:p>
    <w:p w:rsidR="005317AF" w:rsidRDefault="005317AF">
      <w:pPr>
        <w:pStyle w:val="TOC1"/>
        <w:tabs>
          <w:tab w:val="left" w:pos="1320"/>
          <w:tab w:val="right" w:pos="9650"/>
        </w:tabs>
        <w:spacing w:before="120" w:after="120"/>
        <w:rPr>
          <w:rFonts w:asciiTheme="minorHAnsi" w:hAnsiTheme="minorHAnsi" w:cstheme="minorBidi"/>
          <w:b w:val="0"/>
          <w:i w:val="0"/>
          <w:noProof/>
          <w:kern w:val="0"/>
          <w:sz w:val="22"/>
          <w:szCs w:val="22"/>
        </w:rPr>
      </w:pPr>
      <w:r w:rsidRPr="005C3EB6">
        <w:rPr>
          <w:rFonts w:eastAsia="SimSun"/>
          <w:noProof/>
        </w:rPr>
        <w:t>Proposal 13:</w:t>
      </w:r>
      <w:r>
        <w:rPr>
          <w:rFonts w:asciiTheme="minorHAnsi" w:hAnsiTheme="minorHAnsi" w:cstheme="minorBidi"/>
          <w:b w:val="0"/>
          <w:i w:val="0"/>
          <w:noProof/>
          <w:kern w:val="0"/>
          <w:sz w:val="22"/>
          <w:szCs w:val="22"/>
        </w:rPr>
        <w:tab/>
      </w:r>
      <w:r w:rsidRPr="005C3EB6">
        <w:rPr>
          <w:noProof/>
        </w:rPr>
        <w:t>For PSCCH and PSSCH multiplexing option 3, power boosting for PSCCH, CSI-RS and PT-RS is not supported.</w:t>
      </w:r>
    </w:p>
    <w:p w:rsidR="005317AF" w:rsidRDefault="005317AF">
      <w:pPr>
        <w:pStyle w:val="TOC1"/>
        <w:tabs>
          <w:tab w:val="left" w:pos="1282"/>
          <w:tab w:val="right" w:pos="9650"/>
        </w:tabs>
        <w:spacing w:before="120" w:after="120"/>
        <w:rPr>
          <w:rFonts w:asciiTheme="minorHAnsi" w:hAnsiTheme="minorHAnsi" w:cstheme="minorBidi"/>
          <w:b w:val="0"/>
          <w:i w:val="0"/>
          <w:noProof/>
          <w:kern w:val="0"/>
          <w:sz w:val="22"/>
          <w:szCs w:val="22"/>
        </w:rPr>
      </w:pPr>
      <w:r w:rsidRPr="005C3EB6">
        <w:rPr>
          <w:rFonts w:eastAsia="SimSun"/>
          <w:noProof/>
        </w:rPr>
        <w:t>Proposal 14:</w:t>
      </w:r>
      <w:r>
        <w:rPr>
          <w:rFonts w:asciiTheme="minorHAnsi" w:hAnsiTheme="minorHAnsi" w:cstheme="minorBidi"/>
          <w:b w:val="0"/>
          <w:i w:val="0"/>
          <w:noProof/>
          <w:kern w:val="0"/>
          <w:sz w:val="22"/>
          <w:szCs w:val="22"/>
        </w:rPr>
        <w:tab/>
      </w:r>
      <w:r w:rsidRPr="005C3EB6">
        <w:rPr>
          <w:rFonts w:eastAsia="SimSun"/>
          <w:noProof/>
        </w:rPr>
        <w:t>Confirm the WA that sidelink pathloss based PSFCH power control is not supported</w:t>
      </w:r>
    </w:p>
    <w:p w:rsidR="005317AF" w:rsidRDefault="005317AF">
      <w:pPr>
        <w:pStyle w:val="TOC1"/>
        <w:tabs>
          <w:tab w:val="left" w:pos="1282"/>
          <w:tab w:val="right" w:pos="9650"/>
        </w:tabs>
        <w:spacing w:before="120" w:after="120"/>
        <w:rPr>
          <w:rFonts w:asciiTheme="minorHAnsi" w:hAnsiTheme="minorHAnsi" w:cstheme="minorBidi"/>
          <w:b w:val="0"/>
          <w:i w:val="0"/>
          <w:noProof/>
          <w:kern w:val="0"/>
          <w:sz w:val="22"/>
          <w:szCs w:val="22"/>
        </w:rPr>
      </w:pPr>
      <w:r w:rsidRPr="005C3EB6">
        <w:rPr>
          <w:rFonts w:eastAsia="SimSun"/>
          <w:noProof/>
        </w:rPr>
        <w:t>Proposal 15:</w:t>
      </w:r>
      <w:r>
        <w:rPr>
          <w:rFonts w:asciiTheme="minorHAnsi" w:hAnsiTheme="minorHAnsi" w:cstheme="minorBidi"/>
          <w:b w:val="0"/>
          <w:i w:val="0"/>
          <w:noProof/>
          <w:kern w:val="0"/>
          <w:sz w:val="22"/>
          <w:szCs w:val="22"/>
        </w:rPr>
        <w:tab/>
      </w:r>
      <w:r w:rsidRPr="005C3EB6">
        <w:rPr>
          <w:rFonts w:eastAsia="SimSun"/>
          <w:noProof/>
        </w:rPr>
        <w:t>For open-loop power control of groupcast, the rule defined for SL broadcast should be reused</w:t>
      </w:r>
      <w:r w:rsidRPr="005C3EB6">
        <w:rPr>
          <w:noProof/>
        </w:rPr>
        <w:t>.</w:t>
      </w:r>
    </w:p>
    <w:p w:rsidR="000F734B" w:rsidRDefault="00181331">
      <w:pPr>
        <w:pStyle w:val="TOC1"/>
        <w:tabs>
          <w:tab w:val="right" w:pos="9660"/>
        </w:tabs>
        <w:spacing w:before="120" w:after="120"/>
      </w:pPr>
      <w:r>
        <w:fldChar w:fldCharType="end"/>
      </w:r>
    </w:p>
    <w:p w:rsidR="000F734B" w:rsidRDefault="00181331">
      <w:pPr>
        <w:pStyle w:val="Heading1"/>
        <w:spacing w:before="120" w:after="120"/>
        <w:ind w:left="0"/>
        <w:rPr>
          <w:rFonts w:eastAsia="SimSun"/>
        </w:rPr>
      </w:pPr>
      <w:r>
        <w:rPr>
          <w:rFonts w:eastAsia="SimSun" w:hint="eastAsia"/>
        </w:rPr>
        <w:lastRenderedPageBreak/>
        <w:t>Reference</w:t>
      </w:r>
      <w:r>
        <w:rPr>
          <w:rFonts w:eastAsia="SimSun"/>
        </w:rPr>
        <w:t>s</w:t>
      </w:r>
    </w:p>
    <w:p w:rsidR="000F734B" w:rsidRDefault="00181331">
      <w:pPr>
        <w:widowControl w:val="0"/>
        <w:numPr>
          <w:ilvl w:val="0"/>
          <w:numId w:val="17"/>
        </w:numPr>
        <w:snapToGrid w:val="0"/>
        <w:spacing w:before="120" w:after="120"/>
      </w:pPr>
      <w:r>
        <w:rPr>
          <w:rFonts w:hint="eastAsia"/>
          <w:sz w:val="20"/>
        </w:rPr>
        <w:t xml:space="preserve">Chairman's Notes RAN1#98b final, </w:t>
      </w:r>
      <w:r>
        <w:rPr>
          <w:rFonts w:hint="eastAsia"/>
        </w:rPr>
        <w:t>3GPP TSG RAN1#98bis Meeting, Oct.14th -20th, 2019</w:t>
      </w:r>
    </w:p>
    <w:sectPr w:rsidR="000F734B">
      <w:headerReference w:type="even" r:id="rId30"/>
      <w:headerReference w:type="default" r:id="rId31"/>
      <w:footerReference w:type="even" r:id="rId32"/>
      <w:footerReference w:type="default" r:id="rId33"/>
      <w:headerReference w:type="first" r:id="rId34"/>
      <w:footerReference w:type="first" r:id="rId3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B54" w:rsidRDefault="00F91B54">
      <w:pPr>
        <w:spacing w:before="120" w:after="120" w:line="240" w:lineRule="auto"/>
      </w:pPr>
      <w:r>
        <w:separator/>
      </w:r>
    </w:p>
  </w:endnote>
  <w:endnote w:type="continuationSeparator" w:id="0">
    <w:p w:rsidR="00F91B54" w:rsidRDefault="00F91B5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34B" w:rsidRDefault="000F734B">
    <w:pPr>
      <w:pStyle w:val="Foote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3854036"/>
      <w:docPartObj>
        <w:docPartGallery w:val="Page Numbers (Bottom of Page)"/>
        <w:docPartUnique/>
      </w:docPartObj>
    </w:sdtPr>
    <w:sdtEndPr>
      <w:rPr>
        <w:noProof/>
      </w:rPr>
    </w:sdtEndPr>
    <w:sdtContent>
      <w:p w:rsidR="0006398D" w:rsidRDefault="0006398D">
        <w:pPr>
          <w:pStyle w:val="Footer"/>
          <w:spacing w:before="120" w:after="120"/>
          <w:jc w:val="center"/>
        </w:pPr>
        <w:r>
          <w:fldChar w:fldCharType="begin"/>
        </w:r>
        <w:r>
          <w:instrText xml:space="preserve"> PAGE   \* MERGEFORMAT </w:instrText>
        </w:r>
        <w:r>
          <w:fldChar w:fldCharType="separate"/>
        </w:r>
        <w:r w:rsidR="00491F56">
          <w:rPr>
            <w:noProof/>
          </w:rPr>
          <w:t>7</w:t>
        </w:r>
        <w:r>
          <w:rPr>
            <w:noProof/>
          </w:rPr>
          <w:fldChar w:fldCharType="end"/>
        </w:r>
      </w:p>
    </w:sdtContent>
  </w:sdt>
  <w:p w:rsidR="000F734B" w:rsidRDefault="000F734B">
    <w:pPr>
      <w:pStyle w:val="Foote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34B" w:rsidRDefault="000F734B">
    <w:pPr>
      <w:pStyle w:val="Foote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B54" w:rsidRDefault="00F91B54">
      <w:pPr>
        <w:spacing w:before="120" w:after="120" w:line="240" w:lineRule="auto"/>
      </w:pPr>
      <w:r>
        <w:separator/>
      </w:r>
    </w:p>
  </w:footnote>
  <w:footnote w:type="continuationSeparator" w:id="0">
    <w:p w:rsidR="00F91B54" w:rsidRDefault="00F91B54">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34B" w:rsidRDefault="000F734B">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34B" w:rsidRDefault="000F734B">
    <w:pPr>
      <w:pStyle w:val="Heade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34B" w:rsidRDefault="000F734B">
    <w:pPr>
      <w:pStyle w:val="Header"/>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D41A23E3"/>
    <w:multiLevelType w:val="singleLevel"/>
    <w:tmpl w:val="D41A23E3"/>
    <w:lvl w:ilvl="0">
      <w:start w:val="1"/>
      <w:numFmt w:val="bullet"/>
      <w:lvlText w:val=""/>
      <w:lvlJc w:val="left"/>
      <w:pPr>
        <w:tabs>
          <w:tab w:val="left" w:pos="2835"/>
        </w:tabs>
        <w:ind w:left="420" w:firstLine="2415"/>
      </w:pPr>
      <w:rPr>
        <w:rFonts w:ascii="Wingdings" w:hAnsi="Wingdings" w:hint="default"/>
      </w:rPr>
    </w:lvl>
  </w:abstractNum>
  <w:abstractNum w:abstractNumId="3">
    <w:nsid w:val="E159A3C5"/>
    <w:multiLevelType w:val="singleLevel"/>
    <w:tmpl w:val="E159A3C5"/>
    <w:lvl w:ilvl="0">
      <w:start w:val="1"/>
      <w:numFmt w:val="bullet"/>
      <w:lvlText w:val="•"/>
      <w:lvlJc w:val="left"/>
      <w:pPr>
        <w:ind w:left="420" w:hanging="420"/>
      </w:pPr>
      <w:rPr>
        <w:rFonts w:ascii="Arial" w:hAnsi="Arial" w:cs="Arial" w:hint="default"/>
      </w:rPr>
    </w:lvl>
  </w:abstractNum>
  <w:abstractNum w:abstractNumId="4">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nsid w:val="13F723C3"/>
    <w:multiLevelType w:val="multilevel"/>
    <w:tmpl w:val="13F723C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9">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lowerRoman"/>
      <w:pStyle w:val="subsub"/>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444A7C45"/>
    <w:multiLevelType w:val="multilevel"/>
    <w:tmpl w:val="444A7C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57A04D5B"/>
    <w:multiLevelType w:val="multilevel"/>
    <w:tmpl w:val="57A04D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64653BB4"/>
    <w:multiLevelType w:val="multilevel"/>
    <w:tmpl w:val="64653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4CB7F19"/>
    <w:multiLevelType w:val="multilevel"/>
    <w:tmpl w:val="64CB7F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689622EF"/>
    <w:multiLevelType w:val="multilevel"/>
    <w:tmpl w:val="68962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75A91AA5"/>
    <w:multiLevelType w:val="multilevel"/>
    <w:tmpl w:val="75A91AA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9"/>
  </w:num>
  <w:num w:numId="3">
    <w:abstractNumId w:val="8"/>
  </w:num>
  <w:num w:numId="4">
    <w:abstractNumId w:val="10"/>
  </w:num>
  <w:num w:numId="5">
    <w:abstractNumId w:val="1"/>
  </w:num>
  <w:num w:numId="6">
    <w:abstractNumId w:val="0"/>
  </w:num>
  <w:num w:numId="7">
    <w:abstractNumId w:val="15"/>
  </w:num>
  <w:num w:numId="8">
    <w:abstractNumId w:val="11"/>
  </w:num>
  <w:num w:numId="9">
    <w:abstractNumId w:val="12"/>
  </w:num>
  <w:num w:numId="10">
    <w:abstractNumId w:val="14"/>
  </w:num>
  <w:num w:numId="11">
    <w:abstractNumId w:val="5"/>
  </w:num>
  <w:num w:numId="12">
    <w:abstractNumId w:val="2"/>
  </w:num>
  <w:num w:numId="13">
    <w:abstractNumId w:val="13"/>
  </w:num>
  <w:num w:numId="14">
    <w:abstractNumId w:val="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4917"/>
    <w:rsid w:val="0006398D"/>
    <w:rsid w:val="000F734B"/>
    <w:rsid w:val="00124481"/>
    <w:rsid w:val="00136DE0"/>
    <w:rsid w:val="0014297B"/>
    <w:rsid w:val="00172A27"/>
    <w:rsid w:val="00181331"/>
    <w:rsid w:val="0021619D"/>
    <w:rsid w:val="00284819"/>
    <w:rsid w:val="002F60C6"/>
    <w:rsid w:val="003A69A9"/>
    <w:rsid w:val="00415A01"/>
    <w:rsid w:val="004473B1"/>
    <w:rsid w:val="00474D46"/>
    <w:rsid w:val="00491DB1"/>
    <w:rsid w:val="00491F56"/>
    <w:rsid w:val="004A0A7D"/>
    <w:rsid w:val="004B7C15"/>
    <w:rsid w:val="004D7D6B"/>
    <w:rsid w:val="005317AF"/>
    <w:rsid w:val="00571C54"/>
    <w:rsid w:val="00623BAF"/>
    <w:rsid w:val="00624225"/>
    <w:rsid w:val="006E2948"/>
    <w:rsid w:val="00735D0D"/>
    <w:rsid w:val="007C212D"/>
    <w:rsid w:val="007E083E"/>
    <w:rsid w:val="00832E40"/>
    <w:rsid w:val="008616A3"/>
    <w:rsid w:val="00892BB4"/>
    <w:rsid w:val="008D0FE9"/>
    <w:rsid w:val="00954CEE"/>
    <w:rsid w:val="009727FD"/>
    <w:rsid w:val="00A45420"/>
    <w:rsid w:val="00A55ACD"/>
    <w:rsid w:val="00B56064"/>
    <w:rsid w:val="00C107DB"/>
    <w:rsid w:val="00C33951"/>
    <w:rsid w:val="00C50EDF"/>
    <w:rsid w:val="00C5398B"/>
    <w:rsid w:val="00C83A72"/>
    <w:rsid w:val="00CA568B"/>
    <w:rsid w:val="00CC33D5"/>
    <w:rsid w:val="00CC6EF3"/>
    <w:rsid w:val="00D35BC4"/>
    <w:rsid w:val="00D67AC0"/>
    <w:rsid w:val="00D67B5A"/>
    <w:rsid w:val="00D70142"/>
    <w:rsid w:val="00DB5D94"/>
    <w:rsid w:val="00E56021"/>
    <w:rsid w:val="00EC62DB"/>
    <w:rsid w:val="00F21C0C"/>
    <w:rsid w:val="00F91B54"/>
    <w:rsid w:val="00FA3D99"/>
    <w:rsid w:val="00FB7CA4"/>
    <w:rsid w:val="00FD5FC4"/>
    <w:rsid w:val="01764F01"/>
    <w:rsid w:val="01854FE9"/>
    <w:rsid w:val="018E207B"/>
    <w:rsid w:val="019D155B"/>
    <w:rsid w:val="01AE307F"/>
    <w:rsid w:val="01FB366B"/>
    <w:rsid w:val="024D6B6A"/>
    <w:rsid w:val="029B04E7"/>
    <w:rsid w:val="03073BDC"/>
    <w:rsid w:val="03B339B1"/>
    <w:rsid w:val="03C1287B"/>
    <w:rsid w:val="04030035"/>
    <w:rsid w:val="0555228E"/>
    <w:rsid w:val="059D265F"/>
    <w:rsid w:val="05B92EC1"/>
    <w:rsid w:val="05E078B3"/>
    <w:rsid w:val="0601277E"/>
    <w:rsid w:val="060C5AED"/>
    <w:rsid w:val="06E7678C"/>
    <w:rsid w:val="076319C4"/>
    <w:rsid w:val="07B9290D"/>
    <w:rsid w:val="080C7FA0"/>
    <w:rsid w:val="09F67CD5"/>
    <w:rsid w:val="0A646846"/>
    <w:rsid w:val="0B3E7DD7"/>
    <w:rsid w:val="0B9E71DF"/>
    <w:rsid w:val="0CC37BC2"/>
    <w:rsid w:val="0CD87ABE"/>
    <w:rsid w:val="0D6E2620"/>
    <w:rsid w:val="0E963344"/>
    <w:rsid w:val="10E746EA"/>
    <w:rsid w:val="10F52718"/>
    <w:rsid w:val="119D7849"/>
    <w:rsid w:val="123A05DB"/>
    <w:rsid w:val="127E5AA6"/>
    <w:rsid w:val="12D22971"/>
    <w:rsid w:val="12D85654"/>
    <w:rsid w:val="13332F77"/>
    <w:rsid w:val="13D024B3"/>
    <w:rsid w:val="13FD073F"/>
    <w:rsid w:val="1405674E"/>
    <w:rsid w:val="14DA3DA1"/>
    <w:rsid w:val="1575191B"/>
    <w:rsid w:val="16461A95"/>
    <w:rsid w:val="167A52A9"/>
    <w:rsid w:val="17481B81"/>
    <w:rsid w:val="176B45C6"/>
    <w:rsid w:val="17E84839"/>
    <w:rsid w:val="19001FFC"/>
    <w:rsid w:val="190E2B4A"/>
    <w:rsid w:val="1A054259"/>
    <w:rsid w:val="1A8301C0"/>
    <w:rsid w:val="1AD26086"/>
    <w:rsid w:val="1B454C94"/>
    <w:rsid w:val="1B7F6005"/>
    <w:rsid w:val="1C053414"/>
    <w:rsid w:val="1C132CB9"/>
    <w:rsid w:val="1C7F54CE"/>
    <w:rsid w:val="1C973EEF"/>
    <w:rsid w:val="1CCC26CA"/>
    <w:rsid w:val="1D3305FF"/>
    <w:rsid w:val="1E9D6342"/>
    <w:rsid w:val="1EE25FDD"/>
    <w:rsid w:val="1F4F2219"/>
    <w:rsid w:val="204E6676"/>
    <w:rsid w:val="20C849C7"/>
    <w:rsid w:val="21124D15"/>
    <w:rsid w:val="2195668B"/>
    <w:rsid w:val="22411D14"/>
    <w:rsid w:val="2405417E"/>
    <w:rsid w:val="2463385E"/>
    <w:rsid w:val="25134332"/>
    <w:rsid w:val="25FB5636"/>
    <w:rsid w:val="26070462"/>
    <w:rsid w:val="260D2C45"/>
    <w:rsid w:val="26C472EC"/>
    <w:rsid w:val="27342901"/>
    <w:rsid w:val="27470B72"/>
    <w:rsid w:val="27AB7429"/>
    <w:rsid w:val="28C96C14"/>
    <w:rsid w:val="29FA7F26"/>
    <w:rsid w:val="2ABB3D6F"/>
    <w:rsid w:val="2AC70B30"/>
    <w:rsid w:val="2B313FC1"/>
    <w:rsid w:val="2B7B70BF"/>
    <w:rsid w:val="2DDD4F0A"/>
    <w:rsid w:val="2E34792A"/>
    <w:rsid w:val="2E437E73"/>
    <w:rsid w:val="2EEA6E65"/>
    <w:rsid w:val="2F00052B"/>
    <w:rsid w:val="2F0367CD"/>
    <w:rsid w:val="2F1251F2"/>
    <w:rsid w:val="2FA6492D"/>
    <w:rsid w:val="30962F3E"/>
    <w:rsid w:val="30D32236"/>
    <w:rsid w:val="30FF2795"/>
    <w:rsid w:val="317206BF"/>
    <w:rsid w:val="32757E99"/>
    <w:rsid w:val="328F5534"/>
    <w:rsid w:val="329A6ACE"/>
    <w:rsid w:val="33737F51"/>
    <w:rsid w:val="350B42D5"/>
    <w:rsid w:val="351A603C"/>
    <w:rsid w:val="358F6BDF"/>
    <w:rsid w:val="36121506"/>
    <w:rsid w:val="361F3323"/>
    <w:rsid w:val="36402EFA"/>
    <w:rsid w:val="36E93760"/>
    <w:rsid w:val="3708597F"/>
    <w:rsid w:val="37173233"/>
    <w:rsid w:val="37382526"/>
    <w:rsid w:val="37602E60"/>
    <w:rsid w:val="3784394E"/>
    <w:rsid w:val="37D77B09"/>
    <w:rsid w:val="39285D57"/>
    <w:rsid w:val="39F36281"/>
    <w:rsid w:val="3ACB5746"/>
    <w:rsid w:val="3B8E2153"/>
    <w:rsid w:val="3BB20883"/>
    <w:rsid w:val="3BCB270F"/>
    <w:rsid w:val="3E1D4B24"/>
    <w:rsid w:val="3E3A04FA"/>
    <w:rsid w:val="3E441C7D"/>
    <w:rsid w:val="3FA827ED"/>
    <w:rsid w:val="3FC956FF"/>
    <w:rsid w:val="404E779F"/>
    <w:rsid w:val="40EC7D18"/>
    <w:rsid w:val="41513BC9"/>
    <w:rsid w:val="41F466FD"/>
    <w:rsid w:val="42DE48A3"/>
    <w:rsid w:val="435B1259"/>
    <w:rsid w:val="43874CD4"/>
    <w:rsid w:val="440D5045"/>
    <w:rsid w:val="443740AF"/>
    <w:rsid w:val="44957F46"/>
    <w:rsid w:val="45275172"/>
    <w:rsid w:val="45332511"/>
    <w:rsid w:val="45412C46"/>
    <w:rsid w:val="45514AD5"/>
    <w:rsid w:val="455908C0"/>
    <w:rsid w:val="45A82F38"/>
    <w:rsid w:val="45BE6191"/>
    <w:rsid w:val="460C5979"/>
    <w:rsid w:val="46143B66"/>
    <w:rsid w:val="463246EC"/>
    <w:rsid w:val="463A3547"/>
    <w:rsid w:val="473069AF"/>
    <w:rsid w:val="47C01792"/>
    <w:rsid w:val="4808150F"/>
    <w:rsid w:val="480F51A8"/>
    <w:rsid w:val="484759CD"/>
    <w:rsid w:val="48802846"/>
    <w:rsid w:val="48E50D90"/>
    <w:rsid w:val="49A750B5"/>
    <w:rsid w:val="49C84AA0"/>
    <w:rsid w:val="4AC31003"/>
    <w:rsid w:val="4AE93159"/>
    <w:rsid w:val="4B830F9B"/>
    <w:rsid w:val="4BD0339A"/>
    <w:rsid w:val="4C2B4DDD"/>
    <w:rsid w:val="4C923A72"/>
    <w:rsid w:val="4CF52D94"/>
    <w:rsid w:val="4D462159"/>
    <w:rsid w:val="4DC605B6"/>
    <w:rsid w:val="4DEC0985"/>
    <w:rsid w:val="4E27683A"/>
    <w:rsid w:val="4F285975"/>
    <w:rsid w:val="4FB208E7"/>
    <w:rsid w:val="500815B6"/>
    <w:rsid w:val="5105169B"/>
    <w:rsid w:val="514E4912"/>
    <w:rsid w:val="51867298"/>
    <w:rsid w:val="52E04D27"/>
    <w:rsid w:val="53DB3477"/>
    <w:rsid w:val="53E77CBF"/>
    <w:rsid w:val="542C29CD"/>
    <w:rsid w:val="54B56DF4"/>
    <w:rsid w:val="54DD41DB"/>
    <w:rsid w:val="54ED3D78"/>
    <w:rsid w:val="55B63FD5"/>
    <w:rsid w:val="55DD6F2A"/>
    <w:rsid w:val="56106284"/>
    <w:rsid w:val="5632642A"/>
    <w:rsid w:val="56375B61"/>
    <w:rsid w:val="56630C00"/>
    <w:rsid w:val="5705646B"/>
    <w:rsid w:val="5732705F"/>
    <w:rsid w:val="576476C1"/>
    <w:rsid w:val="57FC07D9"/>
    <w:rsid w:val="58500F22"/>
    <w:rsid w:val="594079B2"/>
    <w:rsid w:val="5987482A"/>
    <w:rsid w:val="59B21BF9"/>
    <w:rsid w:val="5A3C0F08"/>
    <w:rsid w:val="5C6B1600"/>
    <w:rsid w:val="5CA6294E"/>
    <w:rsid w:val="5D034EE9"/>
    <w:rsid w:val="5D5B7098"/>
    <w:rsid w:val="5D6E1B86"/>
    <w:rsid w:val="5DFD51DB"/>
    <w:rsid w:val="5EED7893"/>
    <w:rsid w:val="5F8F0B9E"/>
    <w:rsid w:val="607C3753"/>
    <w:rsid w:val="608D1D4E"/>
    <w:rsid w:val="6092569C"/>
    <w:rsid w:val="60C30855"/>
    <w:rsid w:val="61421EFD"/>
    <w:rsid w:val="615C5041"/>
    <w:rsid w:val="62C376AC"/>
    <w:rsid w:val="62D2197B"/>
    <w:rsid w:val="64264A79"/>
    <w:rsid w:val="64311867"/>
    <w:rsid w:val="649B1AC2"/>
    <w:rsid w:val="65083216"/>
    <w:rsid w:val="65460728"/>
    <w:rsid w:val="664805B8"/>
    <w:rsid w:val="677A266A"/>
    <w:rsid w:val="686318DD"/>
    <w:rsid w:val="68A34C5C"/>
    <w:rsid w:val="69280874"/>
    <w:rsid w:val="69850877"/>
    <w:rsid w:val="6A3E2393"/>
    <w:rsid w:val="6A7B4B9C"/>
    <w:rsid w:val="6AD3247E"/>
    <w:rsid w:val="6B884219"/>
    <w:rsid w:val="6C45610F"/>
    <w:rsid w:val="6C89456C"/>
    <w:rsid w:val="6D056EA6"/>
    <w:rsid w:val="6D9E0566"/>
    <w:rsid w:val="6E73404A"/>
    <w:rsid w:val="6EEC3F7C"/>
    <w:rsid w:val="6FA629D4"/>
    <w:rsid w:val="6FDB518F"/>
    <w:rsid w:val="70172090"/>
    <w:rsid w:val="70570007"/>
    <w:rsid w:val="708746BC"/>
    <w:rsid w:val="709E3D85"/>
    <w:rsid w:val="70BB2EF0"/>
    <w:rsid w:val="71015D6B"/>
    <w:rsid w:val="71702748"/>
    <w:rsid w:val="720B2A1D"/>
    <w:rsid w:val="727C422C"/>
    <w:rsid w:val="734F4185"/>
    <w:rsid w:val="7363274A"/>
    <w:rsid w:val="73BE7067"/>
    <w:rsid w:val="748D52FA"/>
    <w:rsid w:val="75202656"/>
    <w:rsid w:val="75955DA9"/>
    <w:rsid w:val="75B15C41"/>
    <w:rsid w:val="75F20996"/>
    <w:rsid w:val="76EC51FD"/>
    <w:rsid w:val="77A00E75"/>
    <w:rsid w:val="78497C2E"/>
    <w:rsid w:val="786A4053"/>
    <w:rsid w:val="78782A0D"/>
    <w:rsid w:val="788720E7"/>
    <w:rsid w:val="79D33056"/>
    <w:rsid w:val="79EC0256"/>
    <w:rsid w:val="7A851D5D"/>
    <w:rsid w:val="7B274176"/>
    <w:rsid w:val="7C26369C"/>
    <w:rsid w:val="7C2A465C"/>
    <w:rsid w:val="7C9E5A24"/>
    <w:rsid w:val="7CF565D7"/>
    <w:rsid w:val="7D0F5720"/>
    <w:rsid w:val="7D2E198F"/>
    <w:rsid w:val="7D62117D"/>
    <w:rsid w:val="7E3E1EF2"/>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222F9F5-2209-4D7D-8954-E87945C1F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Lines="50" w:afterLines="50"/>
      <w:jc w:val="both"/>
    </w:pPr>
    <w:rPr>
      <w:rFonts w:ascii="Times New Roman" w:eastAsia="SimSun" w:hAnsi="Times New Roman" w:cs="Times New Roman"/>
      <w:kern w:val="2"/>
      <w:sz w:val="21"/>
    </w:rPr>
  </w:style>
  <w:style w:type="paragraph" w:styleId="Heading1">
    <w:name w:val="heading 1"/>
    <w:basedOn w:val="Normal"/>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iPriority w:val="99"/>
    <w:semiHidden/>
    <w:unhideWhenUsed/>
    <w:qFormat/>
    <w:pPr>
      <w:jc w:val="left"/>
    </w:pPr>
  </w:style>
  <w:style w:type="paragraph" w:styleId="TOC3">
    <w:name w:val="toc 3"/>
    <w:basedOn w:val="Normal"/>
    <w:next w:val="Normal"/>
    <w:uiPriority w:val="99"/>
    <w:unhideWhenUsed/>
    <w:qFormat/>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pPr>
      <w:spacing w:line="240" w:lineRule="auto"/>
    </w:pPr>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tabs>
        <w:tab w:val="center" w:pos="4680"/>
        <w:tab w:val="right" w:pos="9360"/>
      </w:tabs>
      <w:spacing w:line="240" w:lineRule="auto"/>
    </w:pPr>
  </w:style>
  <w:style w:type="paragraph" w:styleId="TOC1">
    <w:name w:val="toc 1"/>
    <w:basedOn w:val="Normal"/>
    <w:next w:val="Normal"/>
    <w:uiPriority w:val="39"/>
    <w:unhideWhenUsed/>
    <w:qFormat/>
    <w:rPr>
      <w:rFonts w:eastAsiaTheme="minorEastAsia"/>
      <w:b/>
      <w:i/>
      <w:sz w:val="20"/>
    </w:rPr>
  </w:style>
  <w:style w:type="paragraph" w:styleId="TableofFigures">
    <w:name w:val="table of figures"/>
    <w:basedOn w:val="Normal"/>
    <w:next w:val="Normal"/>
    <w:uiPriority w:val="99"/>
    <w:semiHidden/>
    <w:unhideWhenUsed/>
    <w:qFormat/>
    <w:pPr>
      <w:ind w:leftChars="200" w:left="200" w:hangingChars="200" w:hanging="200"/>
    </w:pPr>
  </w:style>
  <w:style w:type="paragraph" w:styleId="TOC2">
    <w:name w:val="toc 2"/>
    <w:basedOn w:val="Normal"/>
    <w:next w:val="Normal"/>
    <w:uiPriority w:val="39"/>
    <w:unhideWhenUsed/>
    <w:qFormat/>
    <w:pPr>
      <w:ind w:leftChars="200" w:left="420"/>
    </w:pPr>
    <w:rPr>
      <w:b/>
      <w:i/>
      <w:sz w:val="20"/>
    </w:rPr>
  </w:style>
  <w:style w:type="paragraph" w:styleId="NormalWeb">
    <w:name w:val="Normal (Web)"/>
    <w:basedOn w:val="Normal"/>
    <w:uiPriority w:val="99"/>
    <w:semiHidden/>
    <w:unhideWhenUsed/>
    <w:qFormat/>
    <w:pPr>
      <w:spacing w:beforeAutospacing="1" w:after="0"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Pr>
      <w:i/>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paragraph" w:customStyle="1" w:styleId="YJ-Proposal">
    <w:name w:val="YJ-Proposal"/>
    <w:basedOn w:val="Normal"/>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Normal"/>
    <w:qFormat/>
    <w:pPr>
      <w:numPr>
        <w:numId w:val="4"/>
      </w:numPr>
      <w:spacing w:after="60"/>
    </w:pPr>
    <w:rPr>
      <w:szCs w:val="16"/>
    </w:rPr>
  </w:style>
  <w:style w:type="paragraph" w:styleId="ListParagraph">
    <w:name w:val="List Paragraph"/>
    <w:basedOn w:val="Normal"/>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Normal"/>
    <w:qFormat/>
    <w:pPr>
      <w:numPr>
        <w:numId w:val="5"/>
      </w:numPr>
    </w:pPr>
  </w:style>
  <w:style w:type="paragraph" w:customStyle="1" w:styleId="1">
    <w:name w:val="样式1"/>
    <w:basedOn w:val="Normal"/>
    <w:qFormat/>
  </w:style>
  <w:style w:type="paragraph" w:customStyle="1" w:styleId="LGTdoc">
    <w:name w:val="LGTdoc_본문"/>
    <w:basedOn w:val="Normal"/>
    <w:qFormat/>
    <w:pPr>
      <w:widowControl w:val="0"/>
      <w:autoSpaceDE w:val="0"/>
      <w:autoSpaceDN w:val="0"/>
      <w:adjustRightInd w:val="0"/>
      <w:snapToGrid w:val="0"/>
      <w:spacing w:line="264" w:lineRule="auto"/>
    </w:pPr>
    <w:rPr>
      <w:sz w:val="22"/>
      <w:lang w:eastAsia="ko-KR"/>
    </w:rPr>
  </w:style>
  <w:style w:type="character" w:customStyle="1" w:styleId="HeaderChar">
    <w:name w:val="Header Char"/>
    <w:basedOn w:val="DefaultParagraphFont"/>
    <w:link w:val="Header"/>
    <w:semiHidden/>
    <w:qFormat/>
    <w:rPr>
      <w:rFonts w:eastAsia="SimSun"/>
      <w:kern w:val="2"/>
      <w:sz w:val="21"/>
    </w:rPr>
  </w:style>
  <w:style w:type="character" w:customStyle="1" w:styleId="FooterChar">
    <w:name w:val="Footer Char"/>
    <w:basedOn w:val="DefaultParagraphFont"/>
    <w:link w:val="Footer"/>
    <w:uiPriority w:val="99"/>
    <w:qFormat/>
    <w:rPr>
      <w:rFonts w:eastAsia="SimSun"/>
      <w:kern w:val="2"/>
      <w:sz w:val="18"/>
      <w:szCs w:val="18"/>
    </w:rPr>
  </w:style>
  <w:style w:type="paragraph" w:customStyle="1" w:styleId="YJ--">
    <w:name w:val="YJ--正文"/>
    <w:basedOn w:val="Normal"/>
    <w:qFormat/>
    <w:pPr>
      <w:spacing w:line="240" w:lineRule="auto"/>
      <w:ind w:firstLineChars="200" w:firstLine="1440"/>
    </w:pPr>
    <w:rPr>
      <w:rFonts w:eastAsia="Times New Roman" w:cs="SimSun"/>
    </w:rPr>
  </w:style>
  <w:style w:type="character" w:customStyle="1" w:styleId="BalloonTextChar">
    <w:name w:val="Balloon Text Char"/>
    <w:basedOn w:val="DefaultParagraphFont"/>
    <w:link w:val="BalloonText"/>
    <w:uiPriority w:val="99"/>
    <w:semiHidden/>
    <w:qFormat/>
    <w:rPr>
      <w:kern w:val="2"/>
      <w:sz w:val="18"/>
      <w:szCs w:val="18"/>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character" w:customStyle="1" w:styleId="CommentTextChar">
    <w:name w:val="Comment Text Char"/>
    <w:basedOn w:val="DefaultParagraphFont"/>
    <w:link w:val="CommentText"/>
    <w:uiPriority w:val="99"/>
    <w:semiHidden/>
    <w:qFormat/>
    <w:rPr>
      <w:kern w:val="2"/>
      <w:sz w:val="21"/>
    </w:rPr>
  </w:style>
  <w:style w:type="character" w:customStyle="1" w:styleId="CommentSubjectChar">
    <w:name w:val="Comment Subject Char"/>
    <w:basedOn w:val="CommentTextChar"/>
    <w:link w:val="CommentSubject"/>
    <w:qFormat/>
    <w:rPr>
      <w:kern w:val="2"/>
      <w:sz w:val="21"/>
    </w:rPr>
  </w:style>
  <w:style w:type="paragraph" w:customStyle="1" w:styleId="subullet">
    <w:name w:val="subullet"/>
    <w:basedOn w:val="Normal"/>
    <w:qFormat/>
    <w:pPr>
      <w:numPr>
        <w:ilvl w:val="1"/>
        <w:numId w:val="2"/>
      </w:numPr>
      <w:spacing w:before="50" w:after="50"/>
    </w:pPr>
    <w:rPr>
      <w:rFonts w:eastAsiaTheme="minorEastAsia" w:hint="eastAsia"/>
      <w:b/>
      <w:bCs/>
      <w:i/>
      <w:iCs/>
      <w:sz w:val="20"/>
    </w:rPr>
  </w:style>
  <w:style w:type="paragraph" w:customStyle="1" w:styleId="subsub">
    <w:name w:val="subsub"/>
    <w:basedOn w:val="Normal"/>
    <w:qFormat/>
    <w:pPr>
      <w:numPr>
        <w:ilvl w:val="2"/>
        <w:numId w:val="2"/>
      </w:numPr>
      <w:spacing w:before="50" w:after="50"/>
    </w:pPr>
    <w:rPr>
      <w:rFonts w:eastAsiaTheme="minorEastAsia" w:hint="eastAsia"/>
      <w:b/>
      <w:bCs/>
      <w:i/>
      <w:iCs/>
      <w:sz w:val="20"/>
    </w:rPr>
  </w:style>
  <w:style w:type="paragraph" w:customStyle="1" w:styleId="3rdlevelproposal">
    <w:name w:val="3rd level proposal"/>
    <w:basedOn w:val="sub-proposal"/>
    <w:next w:val="Normal"/>
    <w:qFormat/>
    <w:pPr>
      <w:numPr>
        <w:numId w:val="6"/>
      </w:numPr>
      <w:ind w:leftChars="400" w:left="1282" w:hangingChars="200" w:hanging="442"/>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9.wmf"/><Relationship Id="rId21" Type="http://schemas.openxmlformats.org/officeDocument/2006/relationships/oleObject" Target="embeddings/oleObject7.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A4FFE8-09F0-4869-A02B-0B75AF5EA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3080</Words>
  <Characters>17559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17</cp:revision>
  <dcterms:created xsi:type="dcterms:W3CDTF">2019-04-08T03:09:00Z</dcterms:created>
  <dcterms:modified xsi:type="dcterms:W3CDTF">2019-11-08T23:36:00Z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